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7"/>
        <w:numPr>
          <w:ilvl w:val="0"/>
          <w:numId w:val="0"/>
        </w:numPr>
        <w:ind w:left="0" w:right="0" w:firstLine="0"/>
        <w:jc w:val="both"/>
        <w:spacing w:before="0" w:beforeAutospacing="0" w:after="0" w:afterAutospacing="0" w:line="240" w:lineRule="auto"/>
        <w:shd w:val="clear" w:color="auto" w:fill="ffffff"/>
        <w:outlineLvl w:val="0"/>
      </w:pPr>
      <w:r/>
      <w:r/>
    </w:p>
    <w:tbl>
      <w:tblPr>
        <w:tblW w:w="9355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9"/>
        <w:gridCol w:w="114"/>
        <w:gridCol w:w="9068"/>
        <w:gridCol w:w="113"/>
      </w:tblGrid>
      <w:tr>
        <w:trPr/>
        <w:tc>
          <w:tcPr>
            <w:shd w:val="clear" w:color="auto" w:fill="ced3f1"/>
            <w:tcW w:w="59" w:type="dxa"/>
            <w:textDirection w:val="lrTb"/>
            <w:noWrap w:val="false"/>
          </w:tcPr>
          <w:p>
            <w:pPr>
              <w:pStyle w:val="787"/>
              <w:numPr>
                <w:ilvl w:val="0"/>
                <w:numId w:val="0"/>
              </w:numPr>
              <w:ind w:left="0" w:right="0" w:firstLine="0"/>
              <w:jc w:val="both"/>
              <w:spacing w:before="0" w:beforeAutospacing="0" w:after="0" w:afterAutospacing="0" w:line="240" w:lineRule="auto"/>
              <w:shd w:val="clear" w:color="auto" w:fill="ffffff"/>
              <w:widowControl w:val="off"/>
              <w:tabs>
                <w:tab w:val="clear" w:pos="720" w:leader="none"/>
              </w:tabs>
              <w:rPr/>
              <w:outlineLvl w:val="0"/>
            </w:pPr>
            <w:r>
              <w:rPr/>
            </w:r>
            <w:r/>
          </w:p>
        </w:tc>
        <w:tc>
          <w:tcPr>
            <w:shd w:val="clear" w:color="auto" w:fill="f4f3f8"/>
            <w:tcW w:w="114" w:type="dxa"/>
            <w:textDirection w:val="lrTb"/>
            <w:noWrap w:val="false"/>
          </w:tcPr>
          <w:p>
            <w:pPr>
              <w:pStyle w:val="787"/>
              <w:numPr>
                <w:ilvl w:val="0"/>
                <w:numId w:val="0"/>
              </w:numPr>
              <w:ind w:left="0" w:right="0" w:firstLine="0"/>
              <w:jc w:val="both"/>
              <w:spacing w:before="0" w:beforeAutospacing="0" w:after="0" w:afterAutospacing="0" w:line="240" w:lineRule="auto"/>
              <w:shd w:val="clear" w:color="auto" w:fill="ffffff"/>
              <w:widowControl w:val="off"/>
              <w:tabs>
                <w:tab w:val="clear" w:pos="720" w:leader="none"/>
              </w:tabs>
              <w:rPr/>
              <w:outlineLvl w:val="0"/>
            </w:pPr>
            <w:r>
              <w:rPr/>
            </w:r>
            <w:r/>
          </w:p>
        </w:tc>
        <w:tc>
          <w:tcPr>
            <w:shd w:val="clear" w:color="auto" w:fill="f4f3f8"/>
            <w:tcMar>
              <w:top w:w="113" w:type="dxa"/>
              <w:bottom w:w="113" w:type="dxa"/>
            </w:tcMar>
            <w:tcW w:w="9068" w:type="dxa"/>
            <w:textDirection w:val="lrTb"/>
            <w:noWrap w:val="false"/>
          </w:tcPr>
          <w:p>
            <w:pPr>
              <w:pStyle w:val="787"/>
              <w:ind w:left="0" w:right="0" w:firstLine="0"/>
              <w:jc w:val="right"/>
              <w:spacing w:before="0" w:beforeAutospacing="0" w:after="0" w:afterAutospacing="0" w:line="240" w:lineRule="auto"/>
              <w:shd w:val="clear" w:color="auto" w:fill="ffffff"/>
              <w:widowControl w:val="off"/>
              <w:tabs>
                <w:tab w:val="clear" w:pos="720" w:leader="none"/>
              </w:tabs>
              <w:rPr/>
            </w:pPr>
            <w:r>
              <w:rPr>
                <w:rFonts w:ascii=" Times New Roman" w:hAnsi=" Times New Roman"/>
                <w:b/>
                <w:color w:val="392c69"/>
                <w:spacing w:val="0"/>
                <w:sz w:val="20"/>
              </w:rPr>
              <w:t xml:space="preserve">Актуально на 01.11.2022</w:t>
            </w:r>
            <w:r/>
          </w:p>
        </w:tc>
        <w:tc>
          <w:tcPr>
            <w:shd w:val="clear" w:color="auto" w:fill="f4f3f8"/>
            <w:tcW w:w="113" w:type="dxa"/>
            <w:textDirection w:val="lrTb"/>
            <w:noWrap w:val="false"/>
          </w:tcPr>
          <w:p>
            <w:pPr>
              <w:pStyle w:val="787"/>
              <w:ind w:left="0" w:right="0" w:firstLine="0"/>
              <w:jc w:val="right"/>
              <w:spacing w:before="0" w:beforeAutospacing="0" w:after="0" w:afterAutospacing="0" w:line="240" w:lineRule="auto"/>
              <w:shd w:val="clear" w:color="auto" w:fill="ffffff"/>
              <w:widowControl w:val="off"/>
              <w:tabs>
                <w:tab w:val="clear" w:pos="720" w:leader="none"/>
              </w:tabs>
              <w:rPr>
                <w:rFonts w:ascii=" Times New Roman" w:hAnsi=" Times New Roman"/>
                <w:color w:val="392c69"/>
                <w:sz w:val="20"/>
              </w:rPr>
            </w:pPr>
            <w:r>
              <w:rPr>
                <w:rFonts w:ascii=" Times New Roman" w:hAnsi=" Times New Roman"/>
                <w:color w:val="392c69"/>
                <w:sz w:val="20"/>
              </w:rPr>
            </w:r>
            <w:r/>
          </w:p>
        </w:tc>
      </w:tr>
    </w:tbl>
    <w:p>
      <w:pPr>
        <w:pStyle w:val="787"/>
        <w:ind w:left="0" w:right="0" w:firstLine="0"/>
        <w:jc w:val="left"/>
        <w:spacing w:before="400" w:beforeAutospacing="0" w:after="0" w:afterAutospacing="0" w:line="240" w:lineRule="auto"/>
        <w:shd w:val="clear" w:color="auto" w:fill="ffffff"/>
        <w:widowControl w:val="off"/>
      </w:pPr>
      <w:r>
        <w:rPr>
          <w:rFonts w:ascii=" Times New Roman" w:hAnsi=" Times New Roman"/>
          <w:b/>
          <w:color w:val="000000"/>
          <w:spacing w:val="0"/>
          <w:sz w:val="32"/>
        </w:rPr>
        <w:t xml:space="preserve">Каков порядок сдачи отчетности в органы Росалкогольрегулирования</w:t>
      </w:r>
      <w:r/>
    </w:p>
    <w:p>
      <w:pPr>
        <w:pStyle w:val="787"/>
        <w:ind w:left="0" w:right="0" w:firstLine="0"/>
        <w:jc w:val="both"/>
        <w:spacing w:before="0" w:beforeAutospacing="0" w:after="0" w:afterAutospacing="0" w:line="240" w:lineRule="auto"/>
        <w:shd w:val="clear" w:color="auto" w:fill="ffffff"/>
        <w:rPr>
          <w:rFonts w:ascii=" Times New Roman" w:hAnsi=" Times New Roman"/>
          <w:sz w:val="32"/>
        </w:rPr>
      </w:pPr>
      <w:r>
        <w:rPr>
          <w:rFonts w:ascii=" Times New Roman" w:hAnsi=" Times New Roman"/>
          <w:sz w:val="32"/>
        </w:rPr>
      </w:r>
      <w:r/>
    </w:p>
    <w:p>
      <w:pPr>
        <w:pStyle w:val="787"/>
        <w:ind w:left="0" w:right="0" w:firstLine="0"/>
        <w:jc w:val="both"/>
        <w:spacing w:before="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color w:val="000000"/>
          <w:spacing w:val="0"/>
          <w:sz w:val="24"/>
        </w:rPr>
        <w:t xml:space="preserve">Участники алкогольного рынка о</w:t>
      </w:r>
      <w:r>
        <w:rPr>
          <w:rFonts w:ascii=" Times New Roman" w:hAnsi=" Times New Roman"/>
          <w:color w:val="000000"/>
          <w:spacing w:val="0"/>
          <w:sz w:val="24"/>
        </w:rPr>
        <w:t xml:space="preserve">бязаны представлять декларации. Какие именно декларации нужно представлять, зависит от вашего вида деятельности и от вида продукции. Формы, формат, а также порядок и сроки представления деклараций утверждены Росалкогольрегулированием и Минсельхозом России.</w:t>
      </w:r>
      <w:r/>
    </w:p>
    <w:p>
      <w:pPr>
        <w:pStyle w:val="787"/>
        <w:ind w:left="0" w:right="0" w:firstLine="0"/>
        <w:jc w:val="both"/>
        <w:spacing w:before="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color w:val="000000"/>
          <w:spacing w:val="0"/>
          <w:sz w:val="24"/>
        </w:rPr>
        <w:t xml:space="preserve">Как правило, большинство деклараций нуж</w:t>
      </w:r>
      <w:r>
        <w:rPr>
          <w:rFonts w:ascii=" Times New Roman" w:hAnsi=" Times New Roman"/>
          <w:color w:val="000000"/>
          <w:spacing w:val="0"/>
          <w:sz w:val="24"/>
        </w:rPr>
        <w:t xml:space="preserve">но подавать по итогам каждого квартала не позднее 20-го числа месяца, следующего за отчетным кварталом. Декларации об объеме винограда, использованного для производства винодельческой продукции, подаются ежегодно до 15 февраля года, следующего за отчетным.</w:t>
      </w:r>
      <w:r/>
    </w:p>
    <w:p>
      <w:pPr>
        <w:pStyle w:val="787"/>
        <w:ind w:left="0" w:right="0" w:firstLine="0"/>
        <w:jc w:val="both"/>
        <w:spacing w:before="32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color w:val="000000"/>
          <w:spacing w:val="0"/>
          <w:sz w:val="24"/>
        </w:rPr>
        <w:t xml:space="preserve">Представлять отчетность в общем случае нужно в Росалкогольрегулирование. Декларации об объеме розничной продажи алкоголя и спиртосодержащей продукции нужно подавать в региональные органы исполнительной власти с копией в Росалкогольрегулирование.</w:t>
      </w:r>
      <w:r/>
    </w:p>
    <w:p>
      <w:pPr>
        <w:pStyle w:val="787"/>
        <w:ind w:left="0" w:right="0" w:firstLine="0"/>
        <w:jc w:val="both"/>
        <w:spacing w:before="320" w:beforeAutospacing="0" w:after="0" w:afterAutospacing="0" w:line="240" w:lineRule="auto"/>
        <w:shd w:val="clear" w:color="auto" w:fill="ffffff"/>
        <w:rPr>
          <w:rFonts w:ascii=" Times New Roman" w:hAnsi=" Times New Roman"/>
        </w:rPr>
      </w:pPr>
      <w:r>
        <w:rPr>
          <w:rFonts w:ascii=" Times New Roman" w:hAnsi=" Times New Roman"/>
        </w:rPr>
      </w:r>
      <w:r/>
    </w:p>
    <w:p>
      <w:pPr>
        <w:pStyle w:val="787"/>
        <w:numPr>
          <w:ilvl w:val="0"/>
          <w:numId w:val="0"/>
        </w:numPr>
        <w:ind w:left="0" w:right="0" w:firstLine="0"/>
        <w:jc w:val="left"/>
        <w:spacing w:before="0" w:beforeAutospacing="0" w:after="0" w:afterAutospacing="0" w:line="240" w:lineRule="auto"/>
        <w:shd w:val="clear" w:color="auto" w:fill="ffffff"/>
        <w:outlineLvl w:val="0"/>
      </w:pPr>
      <w:r/>
      <w:bookmarkStart w:id="0" w:name="Par16"/>
      <w:r/>
      <w:bookmarkEnd w:id="0"/>
      <w:r>
        <w:rPr>
          <w:rFonts w:ascii=" Times New Roman" w:hAnsi=" Times New Roman"/>
          <w:b/>
          <w:color w:val="000000"/>
          <w:spacing w:val="0"/>
          <w:sz w:val="28"/>
        </w:rPr>
        <w:t xml:space="preserve">1. Какую отчетность и по какой форме представляют участники алкогольного рынка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color w:val="000000"/>
          <w:spacing w:val="0"/>
          <w:sz w:val="24"/>
        </w:rPr>
        <w:t xml:space="preserve">Участники алкогольного рынка в случаях, указанных в </w:t>
      </w:r>
      <w:hyperlink r:id="rId9" w:tooltip="consultantplus://offline/ref=A682E10DFA928B6EEA87903D3959FC08908B1CBEB8FE3926C2CE1CE070322DFCE41B9F7843AC09FDCCDD687342B6D1DFF5AAE0E657M9YC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п. 1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, </w:t>
      </w:r>
      <w:hyperlink r:id="rId10" w:tooltip="consultantplus://offline/ref=A682E10DFA928B6EEA87903D3959FC08908B1CBEB8FE3926C2CE1CE070322DFCE41B9F7841A309FDCCDD687342B6D1DFF5AAE0E657M9YC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3 ст. 14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Закона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 171-ФЗ, представляют отчетность - декларации по утвержденным формам (</w:t>
      </w:r>
      <w:hyperlink r:id="rId11" w:tooltip="consultantplus://offline/ref=A682E10DFA928B6EEA87903D3959FC08908B1CBEB8FE3926C2CE1CE070322DFCE41B9F7E41AD06A2C9C8792B4FB4CDC0F5B5FCE4559CMDY9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4 ст. 14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Закона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 171-ФЗ).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color w:val="000000"/>
          <w:spacing w:val="0"/>
          <w:sz w:val="24"/>
        </w:rPr>
        <w:t xml:space="preserve">Формы деклараций, а также порядок их заполнения, формат и порядок представления по общему правилу устанавливает Росалкогольрегулирование. По некоторым декларациям это может делать Минсельхоз России (</w:t>
      </w:r>
      <w:hyperlink r:id="rId12" w:tooltip="consultantplus://offline/ref=A682E10DFA928B6EEA87903D3959FC08908B1CBEB8FE3926C2CE1CE070322DFCE41B9F7E41AD06A2C9C8792B4FB4CDC0F5B5FCE4559CMDY9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4 ст. 14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Закона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 171-ФЗ, </w:t>
      </w:r>
      <w:hyperlink r:id="rId13" w:tooltip="consultantplus://offline/ref=A682E10DFA928B6EEA87903D3959FC08908B16B0BDF93926C2CE1CE070322DFCE41B9F7740AE56F8D9CC307E40AACEDFEAB6E2E4M5Y7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1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Положения о Федеральной службе по регулированию алкогольного рынка, утв. Постановлением Правительства РФ от 24.02.2009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 154, </w:t>
      </w:r>
      <w:hyperlink r:id="rId14" w:tooltip="consultantplus://offline/ref=A682E10DFA928B6EEA87903D3959FC08908816B9B9FB3926C2CE1CE070322DFCE41B9F7E42A502AB94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1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Положения о Министерстве сельского хозяйства Российской Федерации, утв. Постановлением Правительства РФ от 12.06.2008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 450).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color w:val="000000"/>
          <w:spacing w:val="0"/>
          <w:sz w:val="24"/>
        </w:rPr>
        <w:t xml:space="preserve">Какую декларацию вам нужно подавать, вы определяете с учетом своего вида деятельности и (или) вида продукции.</w:t>
      </w:r>
      <w:r/>
    </w:p>
    <w:p>
      <w:pPr>
        <w:pStyle w:val="787"/>
        <w:numPr>
          <w:ilvl w:val="0"/>
          <w:numId w:val="1"/>
        </w:numPr>
        <w:ind w:left="540" w:right="0" w:hanging="300"/>
        <w:jc w:val="both"/>
        <w:spacing w:before="160" w:beforeAutospacing="0" w:after="0" w:afterAutospacing="0" w:line="240" w:lineRule="auto"/>
        <w:shd w:val="clear" w:color="auto" w:fill="ffffff"/>
        <w:tabs>
          <w:tab w:val="left" w:pos="540" w:leader="none"/>
          <w:tab w:val="clear" w:pos="720" w:leader="none"/>
        </w:tabs>
      </w:pPr>
      <w:r>
        <w:rPr>
          <w:rFonts w:ascii=" Times New Roman" w:hAnsi=" Times New Roman"/>
          <w:b/>
          <w:color w:val="000000"/>
          <w:spacing w:val="0"/>
          <w:sz w:val="24"/>
        </w:rPr>
        <w:t xml:space="preserve">Росалкогольрегулирование утвердило</w:t>
      </w:r>
      <w:r>
        <w:rPr>
          <w:rFonts w:ascii=" Times New Roman" w:hAnsi=" Times New Roman"/>
          <w:color w:val="000000"/>
          <w:spacing w:val="0"/>
          <w:sz w:val="24"/>
        </w:rPr>
        <w:t xml:space="preserve"> формы следующих деклараций (Приказ Росалкогольрегулирования от 17.12.2020 </w:t>
      </w:r>
      <w:r>
        <w:rPr>
          <w:rFonts w:ascii=" Times New Roman" w:hAnsi=" Times New Roman"/>
          <w:color w:val="000000"/>
          <w:spacing w:val="0"/>
          <w:sz w:val="24"/>
        </w:rPr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/>
      <w:r>
        <w:rPr>
          <w:rFonts w:ascii=" Times New Roman" w:hAnsi=" Times New Roman"/>
          <w:color w:val="000000"/>
          <w:spacing w:val="0"/>
          <w:sz w:val="24"/>
        </w:rPr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 396):</w:t>
      </w:r>
      <w:r/>
    </w:p>
    <w:p>
      <w:pPr>
        <w:pStyle w:val="787"/>
        <w:numPr>
          <w:ilvl w:val="1"/>
          <w:numId w:val="1"/>
        </w:numPr>
        <w:ind w:left="1080" w:right="0" w:hanging="227"/>
        <w:jc w:val="both"/>
        <w:spacing w:before="0" w:beforeAutospacing="0" w:after="0" w:afterAutospacing="0" w:line="240" w:lineRule="auto"/>
        <w:shd w:val="clear" w:color="auto" w:fill="ffffff"/>
        <w:tabs>
          <w:tab w:val="clear" w:pos="720" w:leader="none"/>
          <w:tab w:val="left" w:pos="1080" w:leader="none"/>
        </w:tabs>
      </w:pPr>
      <w:r/>
      <w:hyperlink r:id="rId15" w:tooltip="consultantplus://offline/ref=A682E10DFA928B6EEA87903D3959FC08908A1FBBB2FD3926C2CE1CE070322DFCE41B9F7E42A502AF95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декларация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об объеме производства и оборота алкогольной продукции (декларация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/>
      <w:r>
        <w:rPr>
          <w:rFonts w:ascii=" Times New Roman" w:hAnsi=" Times New Roman"/>
          <w:color w:val="000000"/>
          <w:spacing w:val="0"/>
          <w:sz w:val="24"/>
        </w:rPr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 1). Ее подают сельхозтоваропроизводители, осуществляющие производство, хранение, поставки вина, игристого вина (</w:t>
      </w:r>
      <w:hyperlink r:id="rId16" w:tooltip="consultantplus://offline/ref=A682E10DFA928B6EEA87903D3959FC08908A1FBBB2FD3926C2CE1CE070322DFCE41B9F7E42AD00A89A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3.1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заполнения деклараций и </w:t>
      </w:r>
      <w:hyperlink r:id="rId17" w:tooltip="consultantplus://offline/ref=A682E10DFA928B6EEA87903D3959FC08908A1FBBB2FD3926C2CE1CE070322DFCE41B9F7E42A502AD9D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3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 396);</w:t>
      </w:r>
      <w:r/>
    </w:p>
    <w:p>
      <w:pPr>
        <w:pStyle w:val="787"/>
        <w:numPr>
          <w:ilvl w:val="1"/>
          <w:numId w:val="1"/>
        </w:numPr>
        <w:ind w:left="1080" w:right="0" w:hanging="227"/>
        <w:jc w:val="both"/>
        <w:spacing w:before="0" w:beforeAutospacing="0" w:after="0" w:afterAutospacing="0" w:line="240" w:lineRule="auto"/>
        <w:shd w:val="clear" w:color="auto" w:fill="ffffff"/>
        <w:tabs>
          <w:tab w:val="clear" w:pos="720" w:leader="none"/>
          <w:tab w:val="left" w:pos="1080" w:leader="none"/>
        </w:tabs>
      </w:pPr>
      <w:r/>
      <w:hyperlink r:id="rId18" w:tooltip="consultantplus://offline/ref=A682E10DFA928B6EEA87903D3959FC08908A1FBBB2FD3926C2CE1CE070322DFCE41B9F7E42A503AF9A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декларация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об объеме оборота этилового спирта, алкогольной и спиртосодержащей продукции (декларация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 2). Ее подают лица, указанные в </w:t>
      </w:r>
      <w:hyperlink r:id="rId19" w:tooltip="consultantplus://offline/ref=A682E10DFA928B6EEA87903D3959FC08908A1FBBB2FD3926C2CE1CE070322DFCE41B9F7E42AD00AD9B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4.1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заполнения деклараций и </w:t>
      </w:r>
      <w:hyperlink r:id="rId20" w:tooltip="consultantplus://offline/ref=A682E10DFA928B6EEA87903D3959FC08908A1FBBB2FD3926C2CE1CE070322DFCE41B9F7E42A502AD9C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4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 396;</w:t>
      </w:r>
      <w:r/>
    </w:p>
    <w:p>
      <w:pPr>
        <w:pStyle w:val="787"/>
        <w:numPr>
          <w:ilvl w:val="1"/>
          <w:numId w:val="1"/>
        </w:numPr>
        <w:ind w:left="1080" w:right="0" w:hanging="227"/>
        <w:jc w:val="both"/>
        <w:spacing w:before="0" w:beforeAutospacing="0" w:after="0" w:afterAutospacing="0" w:line="240" w:lineRule="auto"/>
        <w:shd w:val="clear" w:color="auto" w:fill="ffffff"/>
        <w:tabs>
          <w:tab w:val="clear" w:pos="720" w:leader="none"/>
          <w:tab w:val="left" w:pos="1080" w:leader="none"/>
        </w:tabs>
      </w:pPr>
      <w:r/>
      <w:hyperlink r:id="rId21" w:tooltip="consultantplus://offline/ref=A682E10DFA928B6EEA87903D3959FC08908A1FBBB2FD3926C2CE1CE070322DFCE41B9F7E42A500AE9A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декларация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об объеме поставки этилового спирта, алкогольной и спиртосодержащей продукции (декларация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3). Ее подают лица, указанные в </w:t>
      </w:r>
      <w:hyperlink r:id="rId22" w:tooltip="consultantplus://offline/ref=A682E10DFA928B6EEA87903D3959FC08908A1FBBB2FD3926C2CE1CE070322DFCE41B9F7E42AD00A198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5.1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заполнения деклараций и </w:t>
      </w:r>
      <w:hyperlink r:id="rId23" w:tooltip="consultantplus://offline/ref=A682E10DFA928B6EEA87903D3959FC08908A1FBBB2FD3926C2CE1CE070322DFCE41B9F7E42A502AD9F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5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396;</w:t>
      </w:r>
      <w:r/>
    </w:p>
    <w:p>
      <w:pPr>
        <w:pStyle w:val="787"/>
        <w:numPr>
          <w:ilvl w:val="1"/>
          <w:numId w:val="1"/>
        </w:numPr>
        <w:ind w:left="1080" w:right="0" w:hanging="227"/>
        <w:jc w:val="both"/>
        <w:spacing w:before="0" w:beforeAutospacing="0" w:after="0" w:afterAutospacing="0" w:line="240" w:lineRule="auto"/>
        <w:shd w:val="clear" w:color="auto" w:fill="ffffff"/>
        <w:tabs>
          <w:tab w:val="clear" w:pos="720" w:leader="none"/>
          <w:tab w:val="left" w:pos="1080" w:leader="none"/>
        </w:tabs>
      </w:pPr>
      <w:r/>
      <w:hyperlink r:id="rId24" w:tooltip="consultantplus://offline/ref=A682E10DFA928B6EEA87903D3959FC08908A1FBBB2FD3926C2CE1CE070322DFCE41B9F7E42A501A09B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декларация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об объеме закупки этилового спирта, алкогольной и спиртосодержащей продукции (декларация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4). Ее представляют лица, указанные в </w:t>
      </w:r>
      <w:hyperlink r:id="rId25" w:tooltip="consultantplus://offline/ref=A682E10DFA928B6EEA87903D3959FC08908A1FBBB2FD3926C2CE1CE070322DFCE41B9F7E42AD01A995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6.1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заполнения деклараций и </w:t>
      </w:r>
      <w:hyperlink r:id="rId26" w:tooltip="consultantplus://offline/ref=A682E10DFA928B6EEA87903D3959FC08908A1FBBB2FD3926C2CE1CE070322DFCE41B9F7E42A502AD9E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6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396;</w:t>
      </w:r>
      <w:r/>
    </w:p>
    <w:p>
      <w:pPr>
        <w:pStyle w:val="787"/>
        <w:numPr>
          <w:ilvl w:val="1"/>
          <w:numId w:val="1"/>
        </w:numPr>
        <w:ind w:left="1080" w:right="0" w:hanging="227"/>
        <w:jc w:val="both"/>
        <w:spacing w:before="0" w:beforeAutospacing="0" w:after="0" w:afterAutospacing="0" w:line="240" w:lineRule="auto"/>
        <w:shd w:val="clear" w:color="auto" w:fill="ffffff"/>
        <w:tabs>
          <w:tab w:val="clear" w:pos="720" w:leader="none"/>
          <w:tab w:val="left" w:pos="1080" w:leader="none"/>
        </w:tabs>
        <w:rPr>
          <w:rFonts w:ascii=" Times New Roman" w:hAnsi=" Times New Roman"/>
          <w:color w:val="000000"/>
          <w:spacing w:val="0"/>
          <w:sz w:val="24"/>
          <w:szCs w:val="24"/>
        </w:rPr>
      </w:pPr>
      <w:r/>
      <w:hyperlink r:id="rId27" w:tooltip="consultantplus://offline/ref=A682E10DFA928B6EEA87903D3959FC08908A1FBBB2FD3926C2CE1CE070322DFCE41B9F7E42A507A89B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декларация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об объеме перевозки этилового спирта (в том числе денатурата), алкогольной и спиртосодержащей продукции (декларация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5). Ее представляют лица, указанные в </w:t>
      </w:r>
      <w:hyperlink r:id="rId28" w:tooltip="consultantplus://offline/ref=A682E10DFA928B6EEA87903D3959FC08908A1FBBB2FD3926C2CE1CE070322DFCE41B9F7E42AD01AA98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7.1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заполнения деклараций и </w:t>
      </w:r>
      <w:hyperlink r:id="rId29" w:tooltip="consultantplus://offline/ref=A682E10DFA928B6EEA87903D3959FC08908A1FBBB2FD3926C2CE1CE070322DFCE41B9F7E42A502AD99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7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  <w:br/>
      </w:r>
      <w:r>
        <w:rPr>
          <w:rFonts w:ascii=" Times New Roman" w:hAnsi=" Times New Roman"/>
          <w:color w:val="000000"/>
          <w:spacing w:val="0"/>
          <w:sz w:val="24"/>
        </w:rPr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>
        <w:rPr>
          <w:rFonts w:ascii=" Times New Roman" w:hAnsi=" Times New Roman"/>
          <w:color w:val="000000"/>
          <w:spacing w:val="0"/>
          <w:sz w:val="24"/>
        </w:rPr>
        <w:t xml:space="preserve">396;</w:t>
      </w:r>
      <w:r/>
      <w:r/>
      <w:r>
        <w:rPr>
          <w:rFonts w:ascii=" Times New Roman" w:hAnsi=" Times New Roman"/>
          <w:color w:val="000000"/>
          <w:spacing w:val="0"/>
          <w:sz w:val="24"/>
          <w:szCs w:val="24"/>
        </w:rPr>
      </w:r>
    </w:p>
    <w:p>
      <w:pPr>
        <w:pStyle w:val="787"/>
        <w:numPr>
          <w:ilvl w:val="1"/>
          <w:numId w:val="1"/>
        </w:numPr>
        <w:ind w:left="1080" w:right="0" w:hanging="227"/>
        <w:jc w:val="both"/>
        <w:spacing w:before="0" w:beforeAutospacing="0" w:after="0" w:afterAutospacing="0" w:line="240" w:lineRule="auto"/>
        <w:shd w:val="clear" w:color="auto" w:fill="ffffff"/>
        <w:tabs>
          <w:tab w:val="clear" w:pos="720" w:leader="none"/>
          <w:tab w:val="left" w:pos="1080" w:leader="none"/>
        </w:tabs>
      </w:pPr>
      <w:r/>
      <w:hyperlink r:id="rId30" w:tooltip="consultantplus://offline/ref=A682E10DFA928B6EEA87903D3959FC08908A1FBBB2FD3926C2CE1CE070322DFCE41B9F7E42A504A99B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декларация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об использовании производственных мощностей (декларация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6). Ее представляют организации - производители пива и пивных напитков, сидра, пуаре и медовухи (</w:t>
      </w:r>
      <w:hyperlink r:id="rId31" w:tooltip="consultantplus://offline/ref=A682E10DFA928B6EEA87903D3959FC08908A1FBBB2FD3926C2CE1CE070322DFCE41B9F7E42AD01AC94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8.1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заполнения деклараций и </w:t>
      </w:r>
      <w:hyperlink r:id="rId32" w:tooltip="consultantplus://offline/ref=A682E10DFA928B6EEA87903D3959FC08908A1FBBB2FD3926C2CE1CE070322DFCE41B9F7E42A502AD98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8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br/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396);</w:t>
      </w:r>
      <w:r/>
    </w:p>
    <w:p>
      <w:pPr>
        <w:pStyle w:val="787"/>
        <w:numPr>
          <w:ilvl w:val="1"/>
          <w:numId w:val="1"/>
        </w:numPr>
        <w:ind w:left="1080" w:right="0" w:hanging="227"/>
        <w:jc w:val="both"/>
        <w:spacing w:before="0" w:beforeAutospacing="0" w:after="0" w:afterAutospacing="0" w:line="240" w:lineRule="auto"/>
        <w:shd w:val="clear" w:color="auto" w:fill="ffffff"/>
        <w:tabs>
          <w:tab w:val="clear" w:pos="720" w:leader="none"/>
          <w:tab w:val="left" w:pos="1080" w:leader="none"/>
        </w:tabs>
      </w:pPr>
      <w:r/>
      <w:hyperlink r:id="rId33" w:tooltip="consultantplus://offline/ref=A682E10DFA928B6EEA87903D3959FC08908A1FBBB2FD3926C2CE1CE070322DFCE41B9F7E42A504A198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декларация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об объеме розничной продажи алкогольной (за исключением пива и пивных напитков, сидра, пуаре и медовухи) и спиртосодержащей продукции (декларация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7). Ее представляют лица, указанные в </w:t>
      </w:r>
      <w:hyperlink r:id="rId34" w:tooltip="consultantplus://offline/ref=A682E10DFA928B6EEA87903D3959FC08908A1FBBB2FD3926C2CE1CE070322DFCE41B9F7E42AD01AE9B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9.1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заполнения деклараций и </w:t>
      </w:r>
      <w:hyperlink r:id="rId35" w:tooltip="consultantplus://offline/ref=A682E10DFA928B6EEA87903D3959FC08908A1FBBB2FD3926C2CE1CE070322DFCE41B9F7E42A502AD9B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9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396;</w:t>
      </w:r>
      <w:r/>
    </w:p>
    <w:p>
      <w:pPr>
        <w:pStyle w:val="787"/>
        <w:numPr>
          <w:ilvl w:val="1"/>
          <w:numId w:val="1"/>
        </w:numPr>
        <w:ind w:left="1080" w:right="0" w:hanging="227"/>
        <w:jc w:val="both"/>
        <w:spacing w:before="0" w:beforeAutospacing="0" w:after="0" w:afterAutospacing="0" w:line="240" w:lineRule="auto"/>
        <w:shd w:val="clear" w:color="auto" w:fill="ffffff"/>
        <w:tabs>
          <w:tab w:val="clear" w:pos="720" w:leader="none"/>
          <w:tab w:val="left" w:pos="1080" w:leader="none"/>
        </w:tabs>
      </w:pPr>
      <w:r/>
      <w:hyperlink r:id="rId36" w:tooltip="consultantplus://offline/ref=A682E10DFA928B6EEA87903D3959FC08908A1FBBB2FD3926C2CE1CE070322DFCE41B9F7E42A50AAC9E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декларация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об объеме розничной продажи пива и пивных напитков, сидра, пуаре и медовухи (декларация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8). Ее представляют организации и ИП, указанные в </w:t>
      </w:r>
      <w:hyperlink r:id="rId37" w:tooltip="consultantplus://offline/ref=A682E10DFA928B6EEA87903D3959FC08908A1FBBB2FD3926C2CE1CE070322DFCE41B9F7E42AD06AB99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10.1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заполнения деклараций и </w:t>
      </w:r>
      <w:hyperlink r:id="rId38" w:tooltip="consultantplus://offline/ref=A682E10DFA928B6EEA87903D3959FC08908A1FBBB2FD3926C2CE1CE070322DFCE41B9F7E42A502AD9A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10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396;</w:t>
      </w:r>
      <w:r/>
    </w:p>
    <w:p>
      <w:pPr>
        <w:pStyle w:val="787"/>
        <w:numPr>
          <w:ilvl w:val="1"/>
          <w:numId w:val="1"/>
        </w:numPr>
        <w:ind w:left="1080" w:right="0" w:hanging="227"/>
        <w:jc w:val="both"/>
        <w:spacing w:before="0" w:beforeAutospacing="0" w:after="0" w:afterAutospacing="0" w:line="240" w:lineRule="auto"/>
        <w:shd w:val="clear" w:color="auto" w:fill="ffffff"/>
        <w:tabs>
          <w:tab w:val="clear" w:pos="720" w:leader="none"/>
          <w:tab w:val="left" w:pos="1080" w:leader="none"/>
        </w:tabs>
      </w:pPr>
      <w:r/>
      <w:hyperlink r:id="rId39" w:tooltip="consultantplus://offline/ref=A682E10DFA928B6EEA87903D3959FC08908A1FBBB2FD3926C2CE1CE070322DFCE41B9F7E42A402AB99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декларация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об объеме оборота и использования фармацевтической субстанции спирта этилового (этанола) (декларация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9). Ее представляют лица, указанные в </w:t>
      </w:r>
      <w:hyperlink r:id="rId40" w:tooltip="consultantplus://offline/ref=A682E10DFA928B6EEA87903D3959FC08908A1FBBB2FD3926C2CE1CE070322DFCE41B9F7E42AD06AF98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11.1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заполнения деклараций и </w:t>
      </w:r>
      <w:hyperlink r:id="rId41" w:tooltip="consultantplus://offline/ref=A682E10DFA928B6EEA87903D3959FC08908A1FBBB2FD3926C2CE1CE070322DFCE41B9F7E42A502AD95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11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396;</w:t>
      </w:r>
      <w:r/>
    </w:p>
    <w:p>
      <w:pPr>
        <w:pStyle w:val="787"/>
        <w:numPr>
          <w:ilvl w:val="1"/>
          <w:numId w:val="1"/>
        </w:numPr>
        <w:ind w:left="1080" w:right="0" w:hanging="227"/>
        <w:jc w:val="both"/>
        <w:spacing w:before="0" w:beforeAutospacing="0" w:after="0" w:afterAutospacing="0" w:line="240" w:lineRule="auto"/>
        <w:shd w:val="clear" w:color="auto" w:fill="ffffff"/>
        <w:tabs>
          <w:tab w:val="clear" w:pos="720" w:leader="none"/>
          <w:tab w:val="left" w:pos="1080" w:leader="none"/>
        </w:tabs>
      </w:pPr>
      <w:r/>
      <w:hyperlink r:id="rId42" w:tooltip="consultantplus://offline/ref=A682E10DFA928B6EEA87903D3959FC08908A1FBBB2FD3926C2CE1CE070322DFCE41B9F7E42A403A89A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декларация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об объеме производства, изготовления и (или) оборота (за исключением розничной продажи) спиртосодержащих лекарственных препаратов и (или) спиртосодержащих медицинских изделий (декларация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10). Ее представляют лица, указанные в </w:t>
      </w:r>
      <w:hyperlink r:id="rId43" w:tooltip="consultantplus://offline/ref=A682E10DFA928B6EEA87903D3959FC08908A1FBBB2FD3926C2CE1CE070322DFCE41B9F7E42AD06A194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15.1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заполнения деклараций и </w:t>
      </w:r>
      <w:hyperlink r:id="rId44" w:tooltip="consultantplus://offline/ref=A682E10DFA928B6EEA87903D3959FC08908A1FBBB2FD3926C2CE1CE070322DFCE41B9F7E42A502AD94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12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396.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/>
      <w:hyperlink r:id="rId45" w:tooltip="consultantplus://offline/ref=A682E10DFA928B6EEA87903D3959FC08908A1FBBB2FD3926C2CE1CE070322DFCE41B9F7E42A400AE94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Форматы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и </w:t>
      </w:r>
      <w:hyperlink r:id="rId46" w:tooltip="consultantplus://offline/ref=A682E10DFA928B6EEA87903D3959FC08908A1FBBB2FD3926C2CE1CE070322DFCE41B9F7E42AD03AD95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Порядок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заполнения этих деклараций также утверждены Приказом Росалкогольрегулирования от 17.12.2020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396.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color w:val="000000"/>
          <w:spacing w:val="0"/>
          <w:sz w:val="24"/>
        </w:rPr>
        <w:t xml:space="preserve">Если за отчетный период (квартал) деятельность не осуществлялась и отсутствовали остатки продукции на начало и конец отчетного периода, подавать нулевую декларацию не требуется (</w:t>
      </w:r>
      <w:hyperlink r:id="rId47" w:tooltip="consultantplus://offline/ref=A682E10DFA928B6EEA87903D3959FC08908A1FBBB2FD3926C2CE1CE070322DFCE41B9F7E42A502AC9D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п. 13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, </w:t>
      </w:r>
      <w:hyperlink r:id="rId48" w:tooltip="consultantplus://offline/ref=A682E10DFA928B6EEA87903D3959FC08908A1FBBB2FD3926C2CE1CE070322DFCE41B9F7E42A502AF98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21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396, </w:t>
      </w:r>
      <w:hyperlink r:id="rId49" w:tooltip="consultantplus://offline/ref=A682E10DFA928B6EEA87903D3959FC08958918B9B2FD3926C2CE1CE070322DFCE41B9F7E42A501AB9B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Информация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Росалкогольрегулирования).</w:t>
      </w:r>
      <w:r/>
    </w:p>
    <w:p>
      <w:pPr>
        <w:pStyle w:val="787"/>
        <w:numPr>
          <w:ilvl w:val="0"/>
          <w:numId w:val="1"/>
        </w:numPr>
        <w:ind w:left="540" w:right="0" w:hanging="300"/>
        <w:jc w:val="both"/>
        <w:spacing w:before="160" w:beforeAutospacing="0" w:after="0" w:afterAutospacing="0" w:line="240" w:lineRule="auto"/>
        <w:shd w:val="clear" w:color="auto" w:fill="ffffff"/>
        <w:tabs>
          <w:tab w:val="left" w:pos="540" w:leader="none"/>
          <w:tab w:val="clear" w:pos="720" w:leader="none"/>
        </w:tabs>
      </w:pPr>
      <w:r/>
      <w:bookmarkStart w:id="1" w:name="Par33"/>
      <w:r/>
      <w:bookmarkEnd w:id="1"/>
      <w:r>
        <w:rPr>
          <w:rFonts w:ascii=" Times New Roman" w:hAnsi=" Times New Roman"/>
          <w:b/>
          <w:color w:val="000000"/>
          <w:spacing w:val="0"/>
          <w:sz w:val="24"/>
        </w:rPr>
        <w:t xml:space="preserve">Минсельхоз России утвердил</w:t>
      </w:r>
      <w:r>
        <w:rPr>
          <w:rFonts w:ascii=" Times New Roman" w:hAnsi=" Times New Roman"/>
          <w:color w:val="000000"/>
          <w:spacing w:val="0"/>
          <w:sz w:val="24"/>
        </w:rPr>
        <w:t xml:space="preserve"> формы следующих деклараций (Приказ Минсельхоза России от 01.10.2021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687):</w:t>
      </w:r>
      <w:r/>
    </w:p>
    <w:p>
      <w:pPr>
        <w:pStyle w:val="787"/>
        <w:numPr>
          <w:ilvl w:val="1"/>
          <w:numId w:val="1"/>
        </w:numPr>
        <w:ind w:left="1080" w:right="0" w:hanging="227"/>
        <w:jc w:val="both"/>
        <w:spacing w:before="0" w:beforeAutospacing="0" w:after="0" w:afterAutospacing="0" w:line="240" w:lineRule="auto"/>
        <w:shd w:val="clear" w:color="auto" w:fill="ffffff"/>
        <w:tabs>
          <w:tab w:val="clear" w:pos="720" w:leader="none"/>
          <w:tab w:val="left" w:pos="1080" w:leader="none"/>
        </w:tabs>
      </w:pPr>
      <w:r/>
      <w:hyperlink r:id="rId50" w:tooltip="consultantplus://offline/ref=A682E10DFA928B6EEA87903D3959FC08978317BFBDFA3926C2CE1CE070322DFCE41B9F7E42A502AC9E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декларация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об объеме винограда, использованного для производства винодельческой продукции. Ее представляют </w:t>
      </w:r>
      <w:hyperlink r:id="rId51" w:tooltip="consultantplus://offline/ref=A682E10DFA928B6EEA87903D3959FC08908A1EB9BAFB3926C2CE1CE070322DFCE41B9F7E42A502A89E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сельхозтоваропроизводители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(организации, ИП, крестьянские (фермерские) хозяйства), которые производят вино, игристое вино, включая российское шампанское, за исключением винодельческой продукции защищенных наименований и (или) полного цикла производства дистиллятов (</w:t>
      </w:r>
      <w:hyperlink r:id="rId52" w:tooltip="consultantplus://offline/ref=A682E10DFA928B6EEA87903D3959FC08978317BFBDFA3926C2CE1CE070322DFCE41B9F7E42A502AB98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2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687);</w:t>
      </w:r>
      <w:r/>
    </w:p>
    <w:p>
      <w:pPr>
        <w:pStyle w:val="787"/>
        <w:numPr>
          <w:ilvl w:val="1"/>
          <w:numId w:val="1"/>
        </w:numPr>
        <w:ind w:left="1080" w:right="0" w:hanging="227"/>
        <w:jc w:val="both"/>
        <w:spacing w:before="0" w:beforeAutospacing="0" w:after="0" w:afterAutospacing="0" w:line="240" w:lineRule="auto"/>
        <w:shd w:val="clear" w:color="auto" w:fill="ffffff"/>
        <w:tabs>
          <w:tab w:val="clear" w:pos="720" w:leader="none"/>
          <w:tab w:val="left" w:pos="1080" w:leader="none"/>
        </w:tabs>
      </w:pPr>
      <w:r/>
      <w:hyperlink r:id="rId53" w:tooltip="consultantplus://offline/ref=A682E10DFA928B6EEA87903D3959FC08978317BFBDFA3926C2CE1CE070322DFCE41B9F7E42A502A099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декларация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об объеме винограда, использованного для производства российской винодельческой продукции защищенных наименований и полного цикла производства дистиллятов. Ее представляют организации, осуществляющие такое производство (</w:t>
      </w:r>
      <w:hyperlink r:id="rId54" w:tooltip="consultantplus://offline/ref=A682E10DFA928B6EEA87903D3959FC08978317BFBDFA3926C2CE1CE070322DFCE41B9F7E42A502AB9B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2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687).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color w:val="000000"/>
          <w:spacing w:val="0"/>
          <w:sz w:val="24"/>
        </w:rPr>
        <w:t xml:space="preserve">Форматы деклараций и порядок их заполнения в форме электронного документа утверждены тем же </w:t>
      </w:r>
      <w:hyperlink r:id="rId55" w:tooltip="consultantplus://offline/ref=A682E10DFA928B6EEA87903D3959FC08978317BFBDFA3926C2CE1CE070322DFCF61BC77242A71CA89C873F7E40MBY6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Приказом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№ 687.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color w:val="000000"/>
          <w:spacing w:val="0"/>
          <w:sz w:val="24"/>
        </w:rPr>
        <w:t xml:space="preserve">Минсельхоз России рекомендует использовать формы деклараций, порядок их заполнения, порядок и формат их представления в электронном виде, утвержденные указанным </w:t>
      </w:r>
      <w:hyperlink r:id="rId56" w:tooltip="consultantplus://offline/ref=A682E10DFA928B6EEA87903D3959FC08978317BFBDFA3926C2CE1CE070322DFCF61BC77242A71CA89C873F7E40MBY6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Приказом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, начиная с деклараций за 2021 г. (</w:t>
      </w:r>
      <w:hyperlink r:id="rId57" w:tooltip="consultantplus://offline/ref=A682E10DFA928B6EEA87903D3959FC08908A17BABEF53926C2CE1CE070322DFCE41B9F7E42A502A89D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Письмо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Минсельхоза России от 11.02.2022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21-З-12519/ог-705).</w:t>
      </w:r>
      <w:r/>
    </w:p>
    <w:p>
      <w:pPr>
        <w:pStyle w:val="787"/>
        <w:ind w:left="0" w:right="0" w:firstLine="0"/>
        <w:jc w:val="both"/>
        <w:spacing w:before="0" w:beforeAutospacing="0" w:after="0" w:afterAutospacing="0" w:line="240" w:lineRule="auto"/>
        <w:shd w:val="clear" w:color="auto" w:fill="ffffff"/>
        <w:rPr>
          <w:rFonts w:ascii=" Times New Roman" w:hAnsi=" Times New Roman"/>
          <w:sz w:val="26"/>
        </w:rPr>
      </w:pPr>
      <w:r>
        <w:rPr>
          <w:rFonts w:ascii=" Times New Roman" w:hAnsi=" Times New Roman"/>
          <w:sz w:val="26"/>
        </w:rPr>
      </w:r>
      <w:r/>
    </w:p>
    <w:p>
      <w:pPr>
        <w:pStyle w:val="787"/>
        <w:numPr>
          <w:ilvl w:val="0"/>
          <w:numId w:val="0"/>
        </w:numPr>
        <w:ind w:left="0" w:right="0" w:firstLine="0"/>
        <w:jc w:val="left"/>
        <w:spacing w:before="0" w:beforeAutospacing="0" w:after="0" w:afterAutospacing="0" w:line="240" w:lineRule="auto"/>
        <w:shd w:val="clear" w:color="auto" w:fill="ffffff"/>
        <w:outlineLvl w:val="0"/>
      </w:pPr>
      <w:r/>
      <w:bookmarkStart w:id="2" w:name="Par39"/>
      <w:r/>
      <w:bookmarkEnd w:id="2"/>
      <w:r>
        <w:rPr>
          <w:rFonts w:ascii=" Times New Roman" w:hAnsi=" Times New Roman"/>
          <w:b/>
          <w:color w:val="000000"/>
          <w:spacing w:val="0"/>
          <w:sz w:val="28"/>
        </w:rPr>
        <w:t xml:space="preserve">2. В какой орган нужно подать декларацию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b/>
          <w:color w:val="000000"/>
          <w:spacing w:val="0"/>
          <w:sz w:val="24"/>
        </w:rPr>
        <w:t xml:space="preserve">Декларации</w:t>
      </w:r>
      <w:r>
        <w:rPr>
          <w:rFonts w:ascii=" Times New Roman" w:hAnsi=" Times New Roman"/>
          <w:color w:val="000000"/>
          <w:spacing w:val="0"/>
          <w:sz w:val="24"/>
        </w:rPr>
        <w:t xml:space="preserve"> подавайте (</w:t>
      </w:r>
      <w:hyperlink r:id="rId58" w:tooltip="consultantplus://offline/ref=A682E10DFA928B6EEA87903D3959FC08908A1FBBB2FD3926C2CE1CE070322DFCE41B9F7E42A502AC9F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п. 15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, </w:t>
      </w:r>
      <w:hyperlink r:id="rId59" w:tooltip="consultantplus://offline/ref=A682E10DFA928B6EEA87903D3959FC08908A1FBBB2FD3926C2CE1CE070322DFCE41B9F7E42A502AC9E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16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396, </w:t>
      </w:r>
      <w:hyperlink r:id="rId60" w:tooltip="consultantplus://offline/ref=A682E10DFA928B6EEA87903D3959FC08978317BFBDFA3926C2CE1CE070322DFCE41B9F7E42A502AB9A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3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687):</w:t>
      </w:r>
      <w:r/>
    </w:p>
    <w:p>
      <w:pPr>
        <w:pStyle w:val="787"/>
        <w:numPr>
          <w:ilvl w:val="0"/>
          <w:numId w:val="2"/>
        </w:numPr>
        <w:ind w:left="540" w:right="0" w:hanging="227"/>
        <w:jc w:val="both"/>
        <w:spacing w:before="160" w:beforeAutospacing="0" w:after="0" w:afterAutospacing="0" w:line="240" w:lineRule="auto"/>
        <w:shd w:val="clear" w:color="auto" w:fill="ffffff"/>
        <w:tabs>
          <w:tab w:val="left" w:pos="540" w:leader="none"/>
          <w:tab w:val="clear" w:pos="720" w:leader="none"/>
        </w:tabs>
      </w:pPr>
      <w:r>
        <w:rPr>
          <w:rFonts w:ascii=" Times New Roman" w:hAnsi=" Times New Roman"/>
          <w:color w:val="000000"/>
          <w:spacing w:val="0"/>
          <w:sz w:val="24"/>
        </w:rPr>
        <w:t xml:space="preserve">в Росалкогольрегулирование, если это </w:t>
      </w:r>
      <w:hyperlink r:id="rId61" w:tooltip="consultantplus://offline/ref=A682E10DFA928B6EEA87903D3959FC08908A1FBBB2FD3926C2CE1CE070322DFCE41B9F7E42A502AF9592692F06E1C2DEF6AAE3E74B9CDBEDM5YFL" w:history="1">
        <w:r>
          <w:rPr>
            <w:sz w:val="24"/>
            <w:szCs w:val="40"/>
          </w:rPr>
          <w:t xml:space="preserve">декларации </w:t>
        </w:r>
        <w:r>
          <w:rPr>
            <w:sz w:val="24"/>
            <w:szCs w:val="40"/>
          </w:rPr>
          <w:t xml:space="preserve">№</w:t>
        </w:r>
        <w:r>
          <w:rPr>
            <w:sz w:val="24"/>
            <w:szCs w:val="40"/>
          </w:rPr>
          <w:t xml:space="preserve"> </w:t>
        </w:r>
        <w:r>
          <w:rPr>
            <w:rFonts w:ascii=" Times New Roman" w:hAnsi=" Times New Roman"/>
            <w:color w:val="000000"/>
            <w:spacing w:val="0"/>
            <w:sz w:val="24"/>
          </w:rPr>
          <w:t xml:space="preserve">№</w:t>
        </w:r>
        <w:r>
          <w:rPr>
            <w:rFonts w:ascii=" Times New Roman" w:hAnsi=" Times New Roman"/>
            <w:color w:val="000000"/>
            <w:spacing w:val="0"/>
            <w:sz w:val="24"/>
          </w:rPr>
          <w:t xml:space="preserve"> </w:t>
        </w:r>
        <w:r/>
        <w:r>
          <w:rPr>
            <w:sz w:val="24"/>
            <w:szCs w:val="40"/>
          </w:rPr>
        </w:r>
        <w:r>
          <w:rPr>
            <w:sz w:val="24"/>
            <w:szCs w:val="40"/>
          </w:rPr>
        </w:r>
        <w:r>
          <w:rPr>
            <w:sz w:val="24"/>
            <w:szCs w:val="40"/>
          </w:rPr>
          <w:t xml:space="preserve">1</w:t>
        </w:r>
      </w:hyperlink>
      <w:r>
        <w:rPr>
          <w:sz w:val="24"/>
          <w:szCs w:val="40"/>
        </w:rPr>
        <w:t xml:space="preserve"> - </w:t>
      </w:r>
      <w:hyperlink r:id="rId62" w:tooltip="consultantplus://offline/ref=A682E10DFA928B6EEA87903D3959FC08908A1FBBB2FD3926C2CE1CE070322DFCE41B9F7E42A504A99B92692F06E1C2DEF6AAE3E74B9CDBEDM5YFL" w:history="1">
        <w:r>
          <w:rPr>
            <w:sz w:val="24"/>
            <w:szCs w:val="40"/>
          </w:rPr>
          <w:t xml:space="preserve">6</w:t>
        </w:r>
      </w:hyperlink>
      <w:r>
        <w:rPr>
          <w:sz w:val="24"/>
          <w:szCs w:val="40"/>
        </w:rPr>
        <w:t xml:space="preserve">, </w:t>
      </w:r>
      <w:hyperlink r:id="rId63" w:tooltip="consultantplus://offline/ref=A682E10DFA928B6EEA87903D3959FC08908A1FBBB2FD3926C2CE1CE070322DFCE41B9F7E42A402AB9992692F06E1C2DEF6AAE3E74B9CDBEDM5YFL" w:history="1">
        <w:r>
          <w:rPr>
            <w:sz w:val="24"/>
            <w:szCs w:val="40"/>
          </w:rPr>
          <w:t xml:space="preserve">9</w:t>
        </w:r>
      </w:hyperlink>
      <w:r>
        <w:rPr>
          <w:sz w:val="24"/>
          <w:szCs w:val="40"/>
        </w:rPr>
        <w:t xml:space="preserve">, </w:t>
      </w:r>
      <w:hyperlink r:id="rId64" w:tooltip="consultantplus://offline/ref=A682E10DFA928B6EEA87903D3959FC08908A1FBBB2FD3926C2CE1CE070322DFCE41B9F7E42A403A89A92692F06E1C2DEF6AAE3E74B9CDBEDM5YFL" w:history="1">
        <w:r>
          <w:rPr>
            <w:sz w:val="24"/>
            <w:szCs w:val="40"/>
          </w:rPr>
          <w:t xml:space="preserve">10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либо    об объеме использованного винограда;</w:t>
      </w:r>
      <w:r/>
    </w:p>
    <w:p>
      <w:pPr>
        <w:pStyle w:val="787"/>
        <w:numPr>
          <w:ilvl w:val="0"/>
          <w:numId w:val="2"/>
        </w:numPr>
        <w:ind w:left="540" w:right="0" w:hanging="227"/>
        <w:jc w:val="both"/>
        <w:spacing w:before="0" w:beforeAutospacing="0" w:after="0" w:afterAutospacing="0" w:line="240" w:lineRule="auto"/>
        <w:shd w:val="clear" w:color="auto" w:fill="ffffff"/>
        <w:tabs>
          <w:tab w:val="left" w:pos="540" w:leader="none"/>
          <w:tab w:val="clear" w:pos="720" w:leader="none"/>
        </w:tabs>
      </w:pPr>
      <w:r>
        <w:rPr>
          <w:rFonts w:ascii=" Times New Roman" w:hAnsi=" Times New Roman"/>
          <w:color w:val="000000"/>
          <w:spacing w:val="0"/>
          <w:sz w:val="24"/>
        </w:rPr>
        <w:t xml:space="preserve">в орган исполнительной власти субъекта РФ по месту регистрации вашей организации (ИП) и копию в Росалкогольрегулирование, если это </w:t>
      </w:r>
      <w:hyperlink r:id="rId65" w:tooltip="consultantplus://offline/ref=A682E10DFA928B6EEA87903D3959FC08908A1FBBB2FD3926C2CE1CE070322DFCE41B9F7E42A504A19892692F06E1C2DEF6AAE3E74B9CDBEDM5YFL" w:history="1">
        <w:r>
          <w:rPr>
            <w:sz w:val="24"/>
            <w:szCs w:val="40"/>
          </w:rPr>
          <w:t xml:space="preserve">декларации </w:t>
        </w:r>
        <w:r>
          <w:rPr>
            <w:rFonts w:ascii=" Times New Roman" w:hAnsi=" Times New Roman"/>
            <w:color w:val="000000"/>
            <w:spacing w:val="0"/>
            <w:sz w:val="24"/>
          </w:rPr>
          <w:t xml:space="preserve">№</w:t>
        </w:r>
        <w:r>
          <w:rPr>
            <w:rFonts w:ascii=" Times New Roman" w:hAnsi=" Times New Roman"/>
            <w:color w:val="000000"/>
            <w:spacing w:val="0"/>
            <w:sz w:val="24"/>
          </w:rPr>
          <w:t xml:space="preserve"> </w:t>
        </w:r>
        <w:r>
          <w:rPr>
            <w:rFonts w:ascii=" Times New Roman" w:hAnsi=" Times New Roman"/>
            <w:color w:val="000000"/>
            <w:spacing w:val="0"/>
            <w:sz w:val="24"/>
          </w:rPr>
          <w:t xml:space="preserve">№</w:t>
        </w:r>
        <w:r/>
        <w:r>
          <w:rPr>
            <w:rFonts w:ascii=" Times New Roman" w:hAnsi=" Times New Roman"/>
            <w:color w:val="000000"/>
            <w:spacing w:val="0"/>
            <w:sz w:val="24"/>
          </w:rPr>
        </w:r>
        <w:r/>
        <w:r>
          <w:rPr>
            <w:sz w:val="24"/>
            <w:szCs w:val="40"/>
          </w:rPr>
          <w:t xml:space="preserve"> 7</w:t>
        </w:r>
      </w:hyperlink>
      <w:r>
        <w:rPr>
          <w:sz w:val="24"/>
          <w:szCs w:val="40"/>
        </w:rPr>
        <w:t xml:space="preserve"> и </w:t>
      </w:r>
      <w:hyperlink r:id="rId66" w:tooltip="consultantplus://offline/ref=A682E10DFA928B6EEA87903D3959FC08908A1FBBB2FD3926C2CE1CE070322DFCE41B9F7E42A50AAC9E92692F06E1C2DEF6AAE3E74B9CDBEDM5YFL" w:history="1">
        <w:r>
          <w:rPr>
            <w:sz w:val="24"/>
            <w:szCs w:val="40"/>
          </w:rPr>
          <w:t xml:space="preserve">8</w:t>
        </w:r>
      </w:hyperlink>
      <w:r>
        <w:rPr>
          <w:sz w:val="24"/>
          <w:szCs w:val="40"/>
        </w:rPr>
        <w:t xml:space="preserve">.</w:t>
      </w:r>
      <w:r>
        <w:rPr>
          <w:rFonts w:ascii=" Times New Roman" w:hAnsi=" Times New Roman"/>
          <w:color w:val="000000"/>
          <w:spacing w:val="0"/>
          <w:sz w:val="24"/>
        </w:rPr>
        <w:t xml:space="preserve"> Причем копию декларации нужно направить в Росалкогольрегулирование в электронной форме в течение суток после ее представления в региональный орган исполнительной власти.</w:t>
      </w:r>
      <w:r/>
    </w:p>
    <w:p>
      <w:pPr>
        <w:pStyle w:val="787"/>
        <w:ind w:left="0" w:right="0" w:firstLine="0"/>
        <w:jc w:val="both"/>
        <w:spacing w:before="0" w:beforeAutospacing="0" w:after="0" w:afterAutospacing="0" w:line="240" w:lineRule="auto"/>
        <w:shd w:val="clear" w:color="auto" w:fill="ffffff"/>
        <w:rPr>
          <w:rFonts w:ascii=" Times New Roman" w:hAnsi=" Times New Roman"/>
          <w:sz w:val="26"/>
        </w:rPr>
      </w:pPr>
      <w:r>
        <w:rPr>
          <w:rFonts w:ascii=" Times New Roman" w:hAnsi=" Times New Roman"/>
          <w:sz w:val="26"/>
        </w:rPr>
      </w:r>
      <w:r/>
    </w:p>
    <w:p>
      <w:pPr>
        <w:pStyle w:val="787"/>
        <w:numPr>
          <w:ilvl w:val="0"/>
          <w:numId w:val="0"/>
        </w:numPr>
        <w:ind w:left="0" w:right="0" w:firstLine="0"/>
        <w:jc w:val="left"/>
        <w:spacing w:before="0" w:beforeAutospacing="0" w:after="0" w:afterAutospacing="0" w:line="240" w:lineRule="auto"/>
        <w:shd w:val="clear" w:color="auto" w:fill="ffffff"/>
        <w:outlineLvl w:val="0"/>
      </w:pPr>
      <w:r/>
      <w:bookmarkStart w:id="3" w:name="Par44"/>
      <w:r/>
      <w:bookmarkEnd w:id="3"/>
      <w:r>
        <w:rPr>
          <w:rFonts w:ascii=" Times New Roman" w:hAnsi=" Times New Roman"/>
          <w:b/>
          <w:color w:val="000000"/>
          <w:spacing w:val="0"/>
          <w:sz w:val="28"/>
        </w:rPr>
        <w:t xml:space="preserve">3. В какие сроки нужно подать декларацию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b/>
          <w:color w:val="000000"/>
          <w:spacing w:val="0"/>
          <w:sz w:val="24"/>
        </w:rPr>
        <w:t xml:space="preserve">Декларации по формам и форматам, утвержденным Росалкогольрегулированием,</w:t>
      </w:r>
      <w:r>
        <w:rPr>
          <w:rFonts w:ascii=" Times New Roman" w:hAnsi=" Times New Roman"/>
          <w:color w:val="000000"/>
          <w:spacing w:val="0"/>
          <w:sz w:val="24"/>
        </w:rPr>
        <w:t xml:space="preserve"> подавайте ежеквартально не позднее 20-го числа месяца, следующего за отчетным кварталом (</w:t>
      </w:r>
      <w:hyperlink r:id="rId67" w:tooltip="consultantplus://offline/ref=A682E10DFA928B6EEA87903D3959FC08908A1FBBB2FD3926C2CE1CE070322DFCE41B9F7E42A502AC9D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13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396).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b/>
          <w:color w:val="000000"/>
          <w:spacing w:val="0"/>
          <w:sz w:val="24"/>
        </w:rPr>
        <w:t xml:space="preserve">Декларации по формам и форматам, утвержденным Минсельхозом России</w:t>
      </w:r>
      <w:r>
        <w:rPr>
          <w:rFonts w:ascii=" Times New Roman" w:hAnsi=" Times New Roman"/>
          <w:color w:val="000000"/>
          <w:spacing w:val="0"/>
          <w:sz w:val="24"/>
        </w:rPr>
        <w:t xml:space="preserve">, подаются ежегодно до 15 февраля года, следующего за отчетным (</w:t>
      </w:r>
      <w:hyperlink r:id="rId68" w:tooltip="consultantplus://offline/ref=A682E10DFA928B6EEA87903D3959FC08978317BFBDFA3926C2CE1CE070322DFCE41B9F7E42A502AB9A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3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687).</w:t>
      </w:r>
      <w:r/>
    </w:p>
    <w:p>
      <w:pPr>
        <w:pStyle w:val="787"/>
        <w:ind w:left="0" w:right="0" w:firstLine="0"/>
        <w:jc w:val="both"/>
        <w:spacing w:before="0" w:beforeAutospacing="0" w:after="0" w:afterAutospacing="0" w:line="240" w:lineRule="auto"/>
        <w:shd w:val="clear" w:color="auto" w:fill="ffffff"/>
        <w:rPr>
          <w:rFonts w:ascii=" Times New Roman" w:hAnsi=" Times New Roman"/>
          <w:sz w:val="26"/>
        </w:rPr>
      </w:pPr>
      <w:r>
        <w:rPr>
          <w:rFonts w:ascii=" Times New Roman" w:hAnsi=" Times New Roman"/>
          <w:sz w:val="26"/>
        </w:rPr>
      </w:r>
      <w:r/>
    </w:p>
    <w:p>
      <w:pPr>
        <w:pStyle w:val="787"/>
        <w:numPr>
          <w:ilvl w:val="0"/>
          <w:numId w:val="0"/>
        </w:numPr>
        <w:ind w:left="0" w:right="0" w:firstLine="0"/>
        <w:jc w:val="left"/>
        <w:spacing w:before="0" w:beforeAutospacing="0" w:after="0" w:afterAutospacing="0" w:line="240" w:lineRule="auto"/>
        <w:shd w:val="clear" w:color="auto" w:fill="ffffff"/>
        <w:outlineLvl w:val="0"/>
      </w:pPr>
      <w:r/>
      <w:bookmarkStart w:id="4" w:name="Par48"/>
      <w:r/>
      <w:bookmarkEnd w:id="4"/>
      <w:r>
        <w:rPr>
          <w:rFonts w:ascii=" Times New Roman" w:hAnsi=" Times New Roman"/>
          <w:b/>
          <w:color w:val="000000"/>
          <w:spacing w:val="0"/>
          <w:sz w:val="28"/>
        </w:rPr>
        <w:t xml:space="preserve">4. Каким способом нужно подать декларацию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b/>
          <w:color w:val="000000"/>
          <w:spacing w:val="0"/>
          <w:sz w:val="24"/>
        </w:rPr>
        <w:t xml:space="preserve">Декларацию по форме и формату, утвержденным Росалкогольрегулированием</w:t>
      </w:r>
      <w:r>
        <w:rPr>
          <w:rFonts w:ascii=" Times New Roman" w:hAnsi=" Times New Roman"/>
          <w:color w:val="000000"/>
          <w:spacing w:val="0"/>
          <w:sz w:val="24"/>
        </w:rPr>
        <w:t xml:space="preserve">, вы подаете по </w:t>
      </w:r>
      <w:r>
        <w:rPr>
          <w:rFonts w:ascii=" Times New Roman" w:hAnsi=" Times New Roman"/>
          <w:color w:val="000000"/>
          <w:spacing w:val="0"/>
          <w:sz w:val="24"/>
        </w:rPr>
        <w:t xml:space="preserve">телекоммуникационным каналам связи в форме электронного документа, подписанного усиленной квалифицированной электронной подписью руководителя (уполномоченного им лица), ИП. Сертификат ключа проверки такой подписи должен быть выдан в порядке, установленном </w:t>
      </w:r>
      <w:hyperlink r:id="rId69" w:tooltip="consultantplus://offline/ref=A682E10DFA928B6EEA87903D3959FC0890881CB8BEFA3926C2CE1CE070322DFCF61BC77242A71CA89C873F7E40MBY6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Законом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об электронной подписи (</w:t>
      </w:r>
      <w:hyperlink r:id="rId70" w:tooltip="consultantplus://offline/ref=A682E10DFA928B6EEA87903D3959FC08908A1FBBB2FD3926C2CE1CE070322DFCE41B9F7E42A502AC9C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14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396).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color w:val="000000"/>
          <w:spacing w:val="0"/>
          <w:sz w:val="24"/>
        </w:rPr>
        <w:t xml:space="preserve">Для подачи декларации вы можете использовать любое программное обеспечение, которое обеспечивает представление сведений с соблюдением </w:t>
      </w:r>
      <w:hyperlink r:id="rId71" w:tooltip="consultantplus://offline/ref=A682E10DFA928B6EEA87903D3959FC08908A1FBBB2FD3926C2CE1CE070322DFCE41B9F7E42A400AE94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форматов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396 (</w:t>
      </w:r>
      <w:hyperlink r:id="rId72" w:tooltip="consultantplus://offline/ref=A682E10DFA928B6EEA87903D3959FC08958918B9B2FD3926C2CE1CE070322DFCE41B9F7E42A501AA95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Информация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Росалкогольрегулирования).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color w:val="000000"/>
          <w:spacing w:val="0"/>
          <w:sz w:val="24"/>
        </w:rPr>
        <w:t xml:space="preserve">Декларацию вы можете подать и через личный кабинет на сайте Росалкогольрегулирования (</w:t>
      </w:r>
      <w:hyperlink r:id="rId73" w:tooltip="consultantplus://offline/ref=A682E10DFA928B6EEA87903D3959FC08958918BBBDF53926C2CE1CE070322DFCE41B9F7E42A502AB9C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Информация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Росалкогольрегулирования "Порядок представления деклараций в электронном виде").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b/>
          <w:color w:val="000000"/>
          <w:spacing w:val="0"/>
          <w:sz w:val="24"/>
        </w:rPr>
        <w:t xml:space="preserve">Декларацию по форме и формату, утвержденным Минсельхозом России</w:t>
      </w:r>
      <w:r>
        <w:rPr>
          <w:rFonts w:ascii=" Times New Roman" w:hAnsi=" Times New Roman"/>
          <w:color w:val="000000"/>
          <w:spacing w:val="0"/>
          <w:sz w:val="24"/>
        </w:rPr>
        <w:t xml:space="preserve">, подавайте также в форме электронного документа, подписанного усиленной квалифицированной электронной подписью руководителя (уполномоченного им лица), ИП. Подайте ее через Интернет в </w:t>
      </w:r>
      <w:hyperlink r:id="rId74" w:tooltip="consultantplus://offline/ref=A682E10DFA928B6EEA87903D3959FC0890881CBBB2F53926C2CE1CE070322DFCE41B9F7E42A502A89E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ЕГАИС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учета объема производства и оборота этилового спирта, алкогольной и спиртосодержащей продукции (</w:t>
      </w:r>
      <w:hyperlink r:id="rId75" w:tooltip="consultantplus://offline/ref=A682E10DFA928B6EEA87903D3959FC08978317BFBDFA3926C2CE1CE070322DFCE41B9F7E42A502AB95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4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687, </w:t>
      </w:r>
      <w:hyperlink r:id="rId76" w:tooltip="consultantplus://offline/ref=A682E10DFA928B6EEA87903D3959FC0890881CBBB2F53926C2CE1CE070322DFCE41B9F7E42A503A89F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28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Правил, утв. Постановлением Правительства РФ от 31.12.2020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2466).</w:t>
      </w:r>
      <w:r/>
    </w:p>
    <w:p>
      <w:pPr>
        <w:pStyle w:val="787"/>
        <w:ind w:left="0" w:right="0" w:firstLine="0"/>
        <w:jc w:val="both"/>
        <w:spacing w:before="0" w:beforeAutospacing="0" w:after="0" w:afterAutospacing="0" w:line="240" w:lineRule="auto"/>
        <w:shd w:val="clear" w:color="auto" w:fill="ffffff"/>
        <w:rPr>
          <w:rFonts w:ascii=" Times New Roman" w:hAnsi=" Times New Roman"/>
          <w:sz w:val="26"/>
        </w:rPr>
      </w:pPr>
      <w:r>
        <w:rPr>
          <w:rFonts w:ascii=" Times New Roman" w:hAnsi=" Times New Roman"/>
          <w:sz w:val="26"/>
        </w:rPr>
      </w:r>
      <w:r/>
    </w:p>
    <w:p>
      <w:pPr>
        <w:pStyle w:val="787"/>
        <w:numPr>
          <w:ilvl w:val="0"/>
          <w:numId w:val="0"/>
        </w:numPr>
        <w:ind w:left="0" w:right="0" w:firstLine="0"/>
        <w:jc w:val="left"/>
        <w:spacing w:before="0" w:beforeAutospacing="0" w:after="0" w:afterAutospacing="0" w:line="240" w:lineRule="auto"/>
        <w:shd w:val="clear" w:color="auto" w:fill="ffffff"/>
        <w:outlineLvl w:val="0"/>
      </w:pPr>
      <w:r/>
      <w:bookmarkStart w:id="5" w:name="Par54"/>
      <w:r/>
      <w:bookmarkEnd w:id="5"/>
      <w:r>
        <w:rPr>
          <w:rFonts w:ascii=" Times New Roman" w:hAnsi=" Times New Roman"/>
          <w:b/>
          <w:color w:val="000000"/>
          <w:spacing w:val="0"/>
          <w:sz w:val="28"/>
        </w:rPr>
        <w:t xml:space="preserve">5. Как и когда подать корректирующую декларацию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color w:val="000000"/>
          <w:spacing w:val="0"/>
          <w:sz w:val="24"/>
        </w:rPr>
        <w:t xml:space="preserve">Ошибки (искажения), а также неотражение необходимых сведений или неполноту их отражения в декларации можно исправить, подав корректирующую декларацию с правильными и полными данными (</w:t>
      </w:r>
      <w:hyperlink r:id="rId77" w:tooltip="consultantplus://offline/ref=A682E10DFA928B6EEA87903D3959FC08908A1FBBB2FD3926C2CE1CE070322DFCE41B9F7E42A502AC9B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18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396, </w:t>
      </w:r>
      <w:hyperlink r:id="rId78" w:tooltip="consultantplus://offline/ref=A682E10DFA928B6EEA87903D3959FC08978317BFBDFA3926C2CE1CE070322DFCE41B9F7E42A502AA9F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п. 5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- </w:t>
      </w:r>
      <w:hyperlink r:id="rId79" w:tooltip="consultantplus://offline/ref=A682E10DFA928B6EEA87903D3959FC08978317BFBDFA3926C2CE1CE070322DFCE41B9F7E42A502AA9B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7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687).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b/>
          <w:color w:val="000000"/>
          <w:spacing w:val="0"/>
          <w:sz w:val="24"/>
        </w:rPr>
        <w:t xml:space="preserve">Корректирующую декларацию по форме и формату, утвержденным Росалкогольрегулированием,</w:t>
      </w:r>
      <w:r>
        <w:rPr>
          <w:rFonts w:ascii=" Times New Roman" w:hAnsi=" Times New Roman"/>
          <w:color w:val="000000"/>
          <w:spacing w:val="0"/>
          <w:sz w:val="24"/>
        </w:rPr>
        <w:t xml:space="preserve"> по общему правилу вы можете подать до истечения срока подачи деклараций за квартал, следующий за отчетным. Корректирующую декларацию вы подаете с обоснованием причин, вызвавших неполноту или недостоверность представленных сведений (</w:t>
      </w:r>
      <w:hyperlink r:id="rId80" w:tooltip="consultantplus://offline/ref=A682E10DFA928B6EEA87903D3959FC08908A1FBBB2FD3926C2CE1CE070322DFCE41B9F7E42A502AC9A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18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396).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color w:val="000000"/>
          <w:spacing w:val="0"/>
          <w:sz w:val="24"/>
        </w:rPr>
        <w:t xml:space="preserve">По истечении этого срока подать корректирующую декларацию можно в двух случаях (</w:t>
      </w:r>
      <w:hyperlink r:id="rId81" w:tooltip="consultantplus://offline/ref=A682E10DFA928B6EEA87903D3959FC08908A1FBBB2FD3926C2CE1CE070322DFCE41B9F7E42A502AC94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19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396):</w:t>
      </w:r>
      <w:r/>
    </w:p>
    <w:p>
      <w:pPr>
        <w:pStyle w:val="787"/>
        <w:numPr>
          <w:ilvl w:val="0"/>
          <w:numId w:val="3"/>
        </w:numPr>
        <w:ind w:left="540" w:right="0" w:hanging="227"/>
        <w:jc w:val="both"/>
        <w:spacing w:before="160" w:beforeAutospacing="0" w:after="0" w:afterAutospacing="0" w:line="240" w:lineRule="auto"/>
        <w:shd w:val="clear" w:color="auto" w:fill="ffffff"/>
        <w:tabs>
          <w:tab w:val="left" w:pos="540" w:leader="none"/>
          <w:tab w:val="clear" w:pos="720" w:leader="none"/>
        </w:tabs>
      </w:pPr>
      <w:r>
        <w:rPr>
          <w:rFonts w:ascii=" Times New Roman" w:hAnsi=" Times New Roman"/>
          <w:color w:val="000000"/>
          <w:spacing w:val="0"/>
          <w:sz w:val="24"/>
        </w:rPr>
        <w:t xml:space="preserve">по решению Росалкогольрегулирования или уполномоченного органа исполнит</w:t>
      </w:r>
      <w:r>
        <w:rPr>
          <w:rFonts w:ascii=" Times New Roman" w:hAnsi=" Times New Roman"/>
          <w:color w:val="000000"/>
          <w:spacing w:val="0"/>
          <w:sz w:val="24"/>
        </w:rPr>
        <w:t xml:space="preserve">ельной власти субъекта РФ о возможности представления корректирующих деклараций. Такое решение может быть принято по результатам рассмотрения вашего заявления о представлении корректирующей декларации после установленного срока, поданного в соответствии с </w:t>
      </w:r>
      <w:hyperlink r:id="rId82" w:tooltip="consultantplus://offline/ref=A682E10DFA928B6EEA87903D3959FC08908A1FBBB2FD3926C2CE1CE070322DFCE41B9F7E42A400AA9D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Порядком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представления заявления,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396;</w:t>
      </w:r>
      <w:r/>
    </w:p>
    <w:p>
      <w:pPr>
        <w:pStyle w:val="787"/>
        <w:numPr>
          <w:ilvl w:val="0"/>
          <w:numId w:val="3"/>
        </w:numPr>
        <w:ind w:left="540" w:right="0" w:hanging="227"/>
        <w:jc w:val="both"/>
        <w:spacing w:before="0" w:beforeAutospacing="0" w:after="0" w:afterAutospacing="0" w:line="240" w:lineRule="auto"/>
        <w:shd w:val="clear" w:color="auto" w:fill="ffffff"/>
        <w:tabs>
          <w:tab w:val="left" w:pos="540" w:leader="none"/>
          <w:tab w:val="clear" w:pos="720" w:leader="none"/>
        </w:tabs>
      </w:pPr>
      <w:r>
        <w:rPr>
          <w:rFonts w:ascii=" Times New Roman" w:hAnsi=" Times New Roman"/>
          <w:color w:val="000000"/>
          <w:spacing w:val="0"/>
          <w:sz w:val="24"/>
        </w:rPr>
        <w:t xml:space="preserve">по предписанию Росалкогольрегулирования, в том числе территориальных органов, или уполномоченного органа исполнительной власти субъекта РФ об устранении выявленных нарушений обязательных требований, установленных </w:t>
      </w:r>
      <w:hyperlink r:id="rId83" w:tooltip="consultantplus://offline/ref=A682E10DFA928B6EEA87903D3959FC08908B1CBEB8FE3926C2CE1CE070322DFCF61BC77242A71CA89C873F7E40MBY6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Законом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171-ФЗ.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color w:val="000000"/>
          <w:spacing w:val="0"/>
          <w:sz w:val="24"/>
        </w:rPr>
        <w:t xml:space="preserve">Во время проведения проверки нельзя представлять корректирующие декларации за проверяемый период (</w:t>
      </w:r>
      <w:hyperlink r:id="rId84" w:tooltip="consultantplus://offline/ref=A682E10DFA928B6EEA87903D3959FC08908A1FBBB2FD3926C2CE1CE070322DFCE41B9F7E42A502AC95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18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396).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b/>
          <w:color w:val="000000"/>
          <w:spacing w:val="0"/>
          <w:sz w:val="24"/>
        </w:rPr>
        <w:t xml:space="preserve">Корректирующую декларацию по форме и формату, утвержденным Минсельхозом России</w:t>
      </w:r>
      <w:r>
        <w:rPr>
          <w:rFonts w:ascii=" Times New Roman" w:hAnsi=" Times New Roman"/>
          <w:color w:val="000000"/>
          <w:spacing w:val="0"/>
          <w:sz w:val="24"/>
        </w:rPr>
        <w:t xml:space="preserve">, по общему правилу вы можете подать в течение трех месяцев со дня сдачи первичной декларации. Обоснуйте причины, вызвавшие неполноту или недостоверность представленных сведений (</w:t>
      </w:r>
      <w:hyperlink r:id="rId85" w:tooltip="consultantplus://offline/ref=A682E10DFA928B6EEA87903D3959FC08978317BFBDFA3926C2CE1CE070322DFCE41B9F7E42A502AA9E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5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687).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color w:val="000000"/>
          <w:spacing w:val="0"/>
          <w:sz w:val="24"/>
        </w:rPr>
        <w:t xml:space="preserve">По истечении этого срока подать корректирующую декларацию возможно по решению Росалкогольрегулирования. Оно принимает</w:t>
      </w:r>
      <w:r>
        <w:rPr>
          <w:rFonts w:ascii=" Times New Roman" w:hAnsi=" Times New Roman"/>
          <w:color w:val="000000"/>
          <w:spacing w:val="0"/>
          <w:sz w:val="24"/>
        </w:rPr>
        <w:t xml:space="preserve">ся после рассмотрения заявления, направленного в его территориальный орган по месту регистрации вашего предприятия. К заявлению следует приложить документы, подтверждающие обоснованность уточнения информации. Заявление должно соответствовать установленным </w:t>
      </w:r>
      <w:hyperlink r:id="rId86" w:tooltip="consultantplus://offline/ref=A682E10DFA928B6EEA87903D3959FC08978317BFBDFA3926C2CE1CE070322DFCE41B9F7E42A502AA9B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требованиям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. Пакет документов подается на бумажном носителе либо в форме электронных документов, подписанных усиленной квалифицированной электронной подписью (</w:t>
      </w:r>
      <w:hyperlink r:id="rId87" w:tooltip="consultantplus://offline/ref=A682E10DFA928B6EEA87903D3959FC08978317BFBDFA3926C2CE1CE070322DFCE41B9F7E42A502AB95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п. 4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, </w:t>
      </w:r>
      <w:hyperlink r:id="rId88" w:tooltip="consultantplus://offline/ref=A682E10DFA928B6EEA87903D3959FC08978317BFBDFA3926C2CE1CE070322DFCE41B9F7E42A502AA98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6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687, </w:t>
      </w:r>
      <w:hyperlink r:id="rId89" w:tooltip="consultantplus://offline/ref=A682E10DFA928B6EEA87903D3959FC0890881CBBB2F53926C2CE1CE070322DFCE41B9F7E42A503A89F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28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Правил, утв. Постановлением Правительства РФ от 31.12.2020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2466).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color w:val="000000"/>
          <w:spacing w:val="0"/>
          <w:sz w:val="24"/>
        </w:rPr>
        <w:t xml:space="preserve">Во время проведения проверки корректирующие декларации за проверяемый период также не представляются (</w:t>
      </w:r>
      <w:hyperlink r:id="rId90" w:tooltip="consultantplus://offline/ref=A682E10DFA928B6EEA87903D3959FC08978317BFBDFA3926C2CE1CE070322DFCE41B9F7E42A502AA9992692F06E1C2DEF6AAE3E74B9CDBEDM5YF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п. 5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Порядка представления деклараций, утв. Приказом </w:t>
      </w:r>
      <w:r>
        <w:rPr>
          <w:rFonts w:ascii=" Times New Roman" w:hAnsi=" Times New Roman"/>
          <w:color w:val="000000"/>
          <w:spacing w:val="0"/>
          <w:sz w:val="24"/>
        </w:rPr>
        <w:t xml:space="preserve">№</w:t>
      </w:r>
      <w:r>
        <w:rPr>
          <w:rFonts w:ascii=" Times New Roman" w:hAnsi=" Times New Roman"/>
          <w:color w:val="000000"/>
          <w:spacing w:val="0"/>
          <w:sz w:val="24"/>
        </w:rPr>
        <w:t xml:space="preserve"> </w:t>
      </w:r>
      <w:r/>
      <w:r>
        <w:rPr>
          <w:rFonts w:ascii=" Times New Roman" w:hAnsi=" Times New Roman"/>
          <w:color w:val="000000"/>
          <w:spacing w:val="0"/>
          <w:sz w:val="24"/>
        </w:rPr>
        <w:t xml:space="preserve">687).</w:t>
      </w:r>
      <w:r/>
    </w:p>
    <w:p>
      <w:pPr>
        <w:pStyle w:val="787"/>
        <w:ind w:left="0" w:right="0" w:firstLine="0"/>
        <w:jc w:val="both"/>
        <w:spacing w:before="0" w:beforeAutospacing="0" w:after="0" w:afterAutospacing="0" w:line="240" w:lineRule="auto"/>
        <w:shd w:val="clear" w:color="auto" w:fill="ffffff"/>
        <w:rPr>
          <w:rFonts w:ascii=" Times New Roman" w:hAnsi=" Times New Roman"/>
          <w:sz w:val="26"/>
        </w:rPr>
      </w:pPr>
      <w:r>
        <w:rPr>
          <w:rFonts w:ascii=" Times New Roman" w:hAnsi=" Times New Roman"/>
          <w:sz w:val="26"/>
        </w:rPr>
      </w:r>
      <w:r/>
    </w:p>
    <w:p>
      <w:pPr>
        <w:pStyle w:val="787"/>
        <w:numPr>
          <w:ilvl w:val="0"/>
          <w:numId w:val="0"/>
        </w:numPr>
        <w:ind w:left="0" w:right="0" w:firstLine="0"/>
        <w:jc w:val="left"/>
        <w:spacing w:before="0" w:beforeAutospacing="0" w:after="0" w:afterAutospacing="0" w:line="240" w:lineRule="auto"/>
        <w:shd w:val="clear" w:color="auto" w:fill="ffffff"/>
        <w:outlineLvl w:val="0"/>
      </w:pPr>
      <w:r/>
      <w:bookmarkStart w:id="6" w:name="Par65"/>
      <w:r/>
      <w:bookmarkEnd w:id="6"/>
      <w:r>
        <w:rPr>
          <w:rFonts w:ascii=" Times New Roman" w:hAnsi=" Times New Roman"/>
          <w:b/>
          <w:color w:val="000000"/>
          <w:spacing w:val="0"/>
          <w:sz w:val="28"/>
        </w:rPr>
        <w:t xml:space="preserve">6. Какая ответственность предусмотрена за нарушения при сдаче отчетности в Росалкогольрегулирование</w:t>
      </w:r>
      <w:r/>
    </w:p>
    <w:p>
      <w:pPr>
        <w:pStyle w:val="787"/>
        <w:ind w:left="0" w:right="0" w:firstLine="0"/>
        <w:jc w:val="both"/>
        <w:spacing w:before="160" w:beforeAutospacing="0" w:after="0" w:afterAutospacing="0" w:line="240" w:lineRule="auto"/>
        <w:shd w:val="clear" w:color="auto" w:fill="ffffff"/>
      </w:pPr>
      <w:r>
        <w:rPr>
          <w:rFonts w:ascii=" Times New Roman" w:hAnsi=" Times New Roman"/>
          <w:color w:val="000000"/>
          <w:spacing w:val="0"/>
          <w:sz w:val="24"/>
        </w:rPr>
        <w:t xml:space="preserve">За искажение информации и (или) нарушение порядка и сроков при декларировании производства, оборота и (или) использования этилово</w:t>
      </w:r>
      <w:r>
        <w:rPr>
          <w:rFonts w:ascii=" Times New Roman" w:hAnsi=" Times New Roman"/>
          <w:color w:val="000000"/>
          <w:spacing w:val="0"/>
          <w:sz w:val="24"/>
        </w:rPr>
        <w:t xml:space="preserve">го спирта, алкогольной и спиртосодержащей продукции, использования производственных мощностей предусмотрена административная ответственность. Штраф для должностных лиц и ИП составит от 5 000 до 10 000 руб., для юридических лиц - от 50 000 до 100 000 руб. (</w:t>
      </w:r>
      <w:hyperlink r:id="rId91" w:tooltip="consultantplus://offline/ref=A682E10DFA928B6EEA87903D3959FC08908817BDBDF83926C2CE1CE070322DFCE41B9F7646A104A2C9C8792B4FB4CDC0F5B5FCE4559CMDY9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примечание к ст. 2.4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, </w:t>
      </w:r>
      <w:hyperlink r:id="rId92" w:tooltip="consultantplus://offline/ref=A682E10DFA928B6EEA87903D3959FC08908817BDBDF83926C2CE1CE070322DFCE41B9F7B4AA202A2C9C8792B4FB4CDC0F5B5FCE4559CMDY9L" w:history="1">
        <w:r>
          <w:rPr>
            <w:rFonts w:ascii=" Times New Roman" w:hAnsi=" Times New Roman"/>
            <w:color w:val="0000ff"/>
            <w:spacing w:val="0"/>
            <w:sz w:val="24"/>
          </w:rPr>
          <w:t xml:space="preserve">ст. 15.13</w:t>
        </w:r>
      </w:hyperlink>
      <w:r>
        <w:rPr>
          <w:rFonts w:ascii=" Times New Roman" w:hAnsi=" Times New Roman"/>
          <w:color w:val="000000"/>
          <w:spacing w:val="0"/>
          <w:sz w:val="24"/>
        </w:rPr>
        <w:t xml:space="preserve"> КоАП РФ).</w:t>
      </w:r>
      <w:r/>
    </w:p>
    <w:p>
      <w:pPr>
        <w:pStyle w:val="787"/>
        <w:ind w:left="0" w:right="0" w:firstLine="0"/>
        <w:jc w:val="both"/>
        <w:spacing w:before="0" w:beforeAutospacing="0" w:after="0" w:afterAutospacing="0" w:line="240" w:lineRule="auto"/>
        <w:shd w:val="clear" w:color="auto" w:fill="ffffff"/>
      </w:pPr>
      <w:r/>
      <w:r/>
    </w:p>
    <w:p>
      <w:pPr>
        <w:pStyle w:val="787"/>
        <w:ind w:left="0" w:right="0" w:firstLine="0"/>
        <w:jc w:val="both"/>
        <w:spacing w:before="0" w:beforeAutospacing="0" w:after="0" w:afterAutospacing="0" w:line="240" w:lineRule="auto"/>
        <w:shd w:val="clear" w:color="auto" w:fill="ffffff"/>
      </w:pPr>
      <w:r/>
      <w:r/>
    </w:p>
    <w:p>
      <w:pPr>
        <w:pStyle w:val="787"/>
        <w:ind w:left="0" w:right="0" w:firstLine="0"/>
        <w:jc w:val="both"/>
        <w:spacing w:before="0" w:beforeAutospacing="0" w:after="0" w:afterAutospacing="0" w:line="240" w:lineRule="auto"/>
        <w:shd w:val="clear" w:color="auto" w:fill="ffffff"/>
      </w:pPr>
      <w:r/>
      <w:r/>
    </w:p>
    <w:p>
      <w:pPr>
        <w:pStyle w:val="787"/>
        <w:ind w:left="0" w:right="0" w:firstLine="0"/>
        <w:jc w:val="both"/>
        <w:spacing w:before="0" w:beforeAutospacing="0" w:after="0" w:afterAutospacing="0" w:line="240" w:lineRule="auto"/>
        <w:shd w:val="clear" w:color="auto" w:fill="ffffff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 times new roman">
    <w:panose1 w:val="05040102010807070707"/>
  </w:font>
  <w:font w:name="  wingdings">
    <w:panose1 w:val="05040102010807070707"/>
  </w:font>
  <w:font w:name="  symbol">
    <w:panose1 w:val="02020503060805020204"/>
  </w:font>
  <w:font w:name="  arial">
    <w:panose1 w:val="05040102010807070707"/>
  </w:font>
  <w:font w:name="Arial">
    <w:panose1 w:val="020B0604020202020204"/>
  </w:font>
  <w:font w:name="  courier new">
    <w:panose1 w:val="05040102010807070707"/>
  </w:font>
  <w:font w:name="  tahoma">
    <w:panose1 w:val="05040102010807070707"/>
  </w:font>
  <w:font w:name="  times new roman">
    <w:panose1 w:val="05040102010807070707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1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1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hanging="30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0" w:hanging="227"/>
        <w:tabs>
          <w:tab w:val="num" w:pos="0" w:leader="none"/>
        </w:tabs>
      </w:pPr>
      <w:rPr>
        <w:rFonts w:hint="default" w:ascii="  Symbol" w:hAnsi="  Symbol" w:cs="  Symbol"/>
      </w:rPr>
    </w:lvl>
    <w:lvl w:ilvl="2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4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0" w:hanging="360"/>
        <w:tabs>
          <w:tab w:val="num" w:pos="0" w:leader="none"/>
        </w:tabs>
      </w:pPr>
      <w:rPr>
        <w:rFonts w:hint="default" w:ascii="  Symbol" w:hAnsi="  Symbol" w:cs="  Symbol"/>
      </w:rPr>
    </w:lvl>
    <w:lvl w:ilvl="7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hint="default" w:ascii="  Courier New" w:hAnsi="  Courier New" w:cs="  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0" w:hanging="360"/>
        <w:tabs>
          <w:tab w:val="num" w:pos="0" w:leader="none"/>
        </w:tabs>
      </w:pPr>
      <w:rPr>
        <w:rFonts w:hint="default" w:ascii="  Wingdings" w:hAnsi="  Wingdings" w:cs="  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76">
    <w:name w:val="footnote reference"/>
    <w:basedOn w:val="635"/>
    <w:uiPriority w:val="99"/>
    <w:unhideWhenUsed/>
    <w:rPr>
      <w:vertAlign w:val="superscript"/>
    </w:rPr>
  </w:style>
  <w:style w:type="paragraph" w:styleId="177">
    <w:name w:val="endnote text"/>
    <w:basedOn w:val="605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35"/>
    <w:uiPriority w:val="99"/>
    <w:semiHidden/>
    <w:unhideWhenUsed/>
    <w:rPr>
      <w:vertAlign w:val="superscript"/>
    </w:rPr>
  </w:style>
  <w:style w:type="paragraph" w:styleId="190">
    <w:name w:val="table of figures"/>
    <w:basedOn w:val="605"/>
    <w:next w:val="605"/>
    <w:uiPriority w:val="99"/>
    <w:unhideWhenUsed/>
    <w:pPr>
      <w:spacing w:after="0" w:afterAutospacing="0"/>
    </w:pPr>
  </w:style>
  <w:style w:type="paragraph" w:styleId="605" w:default="1">
    <w:name w:val="Normal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06">
    <w:name w:val="Heading 1"/>
    <w:basedOn w:val="605"/>
    <w:qFormat/>
    <w:pPr>
      <w:jc w:val="left"/>
      <w:keepLines/>
      <w:keepNext/>
      <w:spacing w:before="480" w:after="200" w:line="240" w:lineRule="auto"/>
      <w:outlineLvl w:val="0"/>
    </w:pPr>
    <w:rPr>
      <w:rFonts w:ascii="  Arial" w:hAnsi="  Arial"/>
      <w:sz w:val="40"/>
    </w:rPr>
  </w:style>
  <w:style w:type="paragraph" w:styleId="607">
    <w:name w:val="Heading 2"/>
    <w:basedOn w:val="605"/>
    <w:qFormat/>
    <w:pPr>
      <w:jc w:val="left"/>
      <w:keepLines/>
      <w:keepNext/>
      <w:spacing w:before="360" w:after="200" w:line="240" w:lineRule="auto"/>
      <w:outlineLvl w:val="1"/>
    </w:pPr>
    <w:rPr>
      <w:rFonts w:ascii="  Arial" w:hAnsi="  Arial"/>
      <w:sz w:val="34"/>
    </w:rPr>
  </w:style>
  <w:style w:type="paragraph" w:styleId="608">
    <w:name w:val="Heading 3"/>
    <w:basedOn w:val="605"/>
    <w:qFormat/>
    <w:pPr>
      <w:jc w:val="left"/>
      <w:keepLines/>
      <w:keepNext/>
      <w:spacing w:before="320" w:after="200" w:line="240" w:lineRule="auto"/>
      <w:outlineLvl w:val="2"/>
    </w:pPr>
    <w:rPr>
      <w:rFonts w:ascii="  Arial" w:hAnsi="  Arial"/>
      <w:sz w:val="30"/>
    </w:rPr>
  </w:style>
  <w:style w:type="paragraph" w:styleId="609">
    <w:name w:val="Heading 4"/>
    <w:basedOn w:val="605"/>
    <w:qFormat/>
    <w:pPr>
      <w:jc w:val="left"/>
      <w:keepLines/>
      <w:keepNext/>
      <w:spacing w:before="320" w:after="200" w:line="240" w:lineRule="auto"/>
      <w:outlineLvl w:val="3"/>
    </w:pPr>
    <w:rPr>
      <w:rFonts w:ascii="  Arial" w:hAnsi="  Arial"/>
      <w:b/>
      <w:sz w:val="26"/>
    </w:rPr>
  </w:style>
  <w:style w:type="paragraph" w:styleId="610">
    <w:name w:val="Heading 5"/>
    <w:basedOn w:val="605"/>
    <w:qFormat/>
    <w:pPr>
      <w:jc w:val="left"/>
      <w:keepLines/>
      <w:keepNext/>
      <w:spacing w:before="320" w:after="200" w:line="240" w:lineRule="auto"/>
      <w:outlineLvl w:val="4"/>
    </w:pPr>
    <w:rPr>
      <w:rFonts w:ascii="  Arial" w:hAnsi="  Arial"/>
      <w:b/>
      <w:sz w:val="24"/>
    </w:rPr>
  </w:style>
  <w:style w:type="paragraph" w:styleId="611">
    <w:name w:val="Heading 6"/>
    <w:basedOn w:val="605"/>
    <w:qFormat/>
    <w:pPr>
      <w:jc w:val="left"/>
      <w:keepLines/>
      <w:keepNext/>
      <w:spacing w:before="320" w:after="200" w:line="240" w:lineRule="auto"/>
      <w:outlineLvl w:val="5"/>
    </w:pPr>
    <w:rPr>
      <w:rFonts w:ascii="  Arial" w:hAnsi="  Arial"/>
      <w:b/>
      <w:sz w:val="22"/>
    </w:rPr>
  </w:style>
  <w:style w:type="paragraph" w:styleId="612">
    <w:name w:val="Heading 7"/>
    <w:basedOn w:val="605"/>
    <w:qFormat/>
    <w:pPr>
      <w:jc w:val="left"/>
      <w:keepLines/>
      <w:keepNext/>
      <w:spacing w:before="320" w:after="200" w:line="240" w:lineRule="auto"/>
      <w:outlineLvl w:val="6"/>
    </w:pPr>
    <w:rPr>
      <w:rFonts w:ascii="  Arial" w:hAnsi="  Arial"/>
      <w:b/>
      <w:i/>
      <w:sz w:val="22"/>
    </w:rPr>
  </w:style>
  <w:style w:type="paragraph" w:styleId="613">
    <w:name w:val="Heading 8"/>
    <w:basedOn w:val="605"/>
    <w:qFormat/>
    <w:pPr>
      <w:jc w:val="left"/>
      <w:keepLines/>
      <w:keepNext/>
      <w:spacing w:before="320" w:after="200" w:line="240" w:lineRule="auto"/>
      <w:outlineLvl w:val="7"/>
    </w:pPr>
    <w:rPr>
      <w:rFonts w:ascii="  Arial" w:hAnsi="  Arial"/>
      <w:i/>
      <w:sz w:val="22"/>
    </w:rPr>
  </w:style>
  <w:style w:type="paragraph" w:styleId="614">
    <w:name w:val="Heading 9"/>
    <w:basedOn w:val="605"/>
    <w:qFormat/>
    <w:pPr>
      <w:jc w:val="left"/>
      <w:keepLines/>
      <w:keepNext/>
      <w:spacing w:before="320" w:after="200" w:line="240" w:lineRule="auto"/>
      <w:outlineLvl w:val="8"/>
    </w:pPr>
    <w:rPr>
      <w:rFonts w:ascii="  Arial" w:hAnsi="  Arial"/>
      <w:i/>
      <w:sz w:val="21"/>
    </w:rPr>
  </w:style>
  <w:style w:type="character" w:styleId="615">
    <w:name w:val="Heading 1 Char"/>
    <w:qFormat/>
    <w:rPr>
      <w:rFonts w:ascii="  Arial" w:hAnsi="  Arial"/>
      <w:sz w:val="40"/>
    </w:rPr>
  </w:style>
  <w:style w:type="character" w:styleId="616">
    <w:name w:val="Heading 2 Char"/>
    <w:qFormat/>
    <w:rPr>
      <w:rFonts w:ascii="  Arial" w:hAnsi="  Arial"/>
      <w:sz w:val="34"/>
    </w:rPr>
  </w:style>
  <w:style w:type="character" w:styleId="617">
    <w:name w:val="Heading 3 Char"/>
    <w:qFormat/>
    <w:rPr>
      <w:rFonts w:ascii="  Arial" w:hAnsi="  Arial"/>
      <w:sz w:val="30"/>
    </w:rPr>
  </w:style>
  <w:style w:type="character" w:styleId="618">
    <w:name w:val="Heading 4 Char"/>
    <w:qFormat/>
    <w:rPr>
      <w:rFonts w:ascii="  Arial" w:hAnsi="  Arial"/>
      <w:b/>
      <w:sz w:val="26"/>
    </w:rPr>
  </w:style>
  <w:style w:type="character" w:styleId="619">
    <w:name w:val="Heading 5 Char"/>
    <w:qFormat/>
    <w:rPr>
      <w:rFonts w:ascii="  Arial" w:hAnsi="  Arial"/>
      <w:b/>
      <w:sz w:val="24"/>
    </w:rPr>
  </w:style>
  <w:style w:type="character" w:styleId="620">
    <w:name w:val="Heading 6 Char"/>
    <w:qFormat/>
    <w:rPr>
      <w:rFonts w:ascii="  Arial" w:hAnsi="  Arial"/>
      <w:b/>
      <w:sz w:val="22"/>
    </w:rPr>
  </w:style>
  <w:style w:type="character" w:styleId="621">
    <w:name w:val="Heading 7 Char"/>
    <w:qFormat/>
    <w:rPr>
      <w:rFonts w:ascii="  Arial" w:hAnsi="  Arial"/>
      <w:b/>
      <w:i/>
      <w:sz w:val="22"/>
    </w:rPr>
  </w:style>
  <w:style w:type="character" w:styleId="622">
    <w:name w:val="Heading 8 Char"/>
    <w:qFormat/>
    <w:rPr>
      <w:rFonts w:ascii="  Arial" w:hAnsi="  Arial"/>
      <w:i/>
      <w:sz w:val="22"/>
    </w:rPr>
  </w:style>
  <w:style w:type="character" w:styleId="623">
    <w:name w:val="Heading 9 Char"/>
    <w:qFormat/>
    <w:rPr>
      <w:rFonts w:ascii="  Arial" w:hAnsi="  Arial"/>
      <w:i/>
      <w:sz w:val="21"/>
    </w:rPr>
  </w:style>
  <w:style w:type="character" w:styleId="624">
    <w:name w:val="Title Char"/>
    <w:qFormat/>
    <w:rPr>
      <w:sz w:val="48"/>
    </w:rPr>
  </w:style>
  <w:style w:type="character" w:styleId="625">
    <w:name w:val="Subtitle Char"/>
    <w:qFormat/>
    <w:rPr>
      <w:sz w:val="24"/>
    </w:rPr>
  </w:style>
  <w:style w:type="character" w:styleId="626">
    <w:name w:val="Quote Char"/>
    <w:qFormat/>
    <w:rPr>
      <w:i/>
      <w:sz w:val="24"/>
    </w:rPr>
  </w:style>
  <w:style w:type="character" w:styleId="627">
    <w:name w:val="Intense Quote Char"/>
    <w:qFormat/>
    <w:rPr>
      <w:i/>
      <w:sz w:val="24"/>
    </w:rPr>
  </w:style>
  <w:style w:type="character" w:styleId="628">
    <w:name w:val="Header Char"/>
    <w:qFormat/>
    <w:rPr>
      <w:sz w:val="24"/>
    </w:rPr>
  </w:style>
  <w:style w:type="character" w:styleId="629">
    <w:name w:val="Footer Char"/>
    <w:qFormat/>
    <w:rPr>
      <w:sz w:val="24"/>
    </w:rPr>
  </w:style>
  <w:style w:type="character" w:styleId="630">
    <w:name w:val="Caption Char"/>
    <w:qFormat/>
    <w:rPr>
      <w:sz w:val="24"/>
    </w:rPr>
  </w:style>
  <w:style w:type="character" w:styleId="631">
    <w:name w:val="Hyperlink"/>
    <w:rPr>
      <w:color w:val="0000ff"/>
      <w:sz w:val="24"/>
      <w:u w:val="single"/>
    </w:rPr>
  </w:style>
  <w:style w:type="character" w:styleId="632">
    <w:name w:val="Footnote Text Char"/>
    <w:qFormat/>
    <w:rPr>
      <w:sz w:val="18"/>
    </w:rPr>
  </w:style>
  <w:style w:type="character" w:styleId="633">
    <w:name w:val="Footnote Characters"/>
    <w:qFormat/>
    <w:rPr>
      <w:sz w:val="24"/>
      <w:vertAlign w:val="superscript"/>
    </w:rPr>
  </w:style>
  <w:style w:type="character" w:styleId="634">
    <w:name w:val="Footnote Anchor"/>
    <w:rPr>
      <w:sz w:val="24"/>
      <w:vertAlign w:val="superscript"/>
    </w:rPr>
  </w:style>
  <w:style w:type="character" w:styleId="635" w:default="1">
    <w:name w:val="Default Paragraph Font"/>
    <w:qFormat/>
    <w:rPr>
      <w:sz w:val="24"/>
    </w:rPr>
  </w:style>
  <w:style w:type="paragraph" w:styleId="636">
    <w:name w:val="Heading"/>
    <w:basedOn w:val="605"/>
    <w:next w:val="637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37">
    <w:name w:val="Body Text"/>
    <w:basedOn w:val="605"/>
    <w:pPr>
      <w:spacing w:before="0" w:after="140" w:line="276" w:lineRule="auto"/>
    </w:pPr>
  </w:style>
  <w:style w:type="paragraph" w:styleId="638">
    <w:name w:val="List"/>
    <w:basedOn w:val="637"/>
  </w:style>
  <w:style w:type="paragraph" w:styleId="639">
    <w:name w:val="Caption"/>
    <w:basedOn w:val="605"/>
    <w:qFormat/>
    <w:pPr>
      <w:jc w:val="left"/>
      <w:spacing w:before="0" w:after="0" w:line="276" w:lineRule="auto"/>
    </w:pPr>
    <w:rPr>
      <w:b/>
      <w:color w:val="4f81bd"/>
      <w:sz w:val="18"/>
    </w:rPr>
  </w:style>
  <w:style w:type="paragraph" w:styleId="640">
    <w:name w:val="Index"/>
    <w:basedOn w:val="605"/>
    <w:qFormat/>
    <w:pPr>
      <w:suppressLineNumbers/>
    </w:pPr>
  </w:style>
  <w:style w:type="paragraph" w:styleId="641">
    <w:name w:val="List Paragraph"/>
    <w:basedOn w:val="605"/>
    <w:qFormat/>
    <w:pPr>
      <w:contextualSpacing/>
      <w:jc w:val="left"/>
      <w:spacing w:before="0" w:after="0" w:line="240" w:lineRule="auto"/>
    </w:pPr>
    <w:rPr>
      <w:sz w:val="24"/>
    </w:rPr>
  </w:style>
  <w:style w:type="paragraph" w:styleId="642">
    <w:name w:val="No Spacing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43">
    <w:name w:val="Title"/>
    <w:basedOn w:val="605"/>
    <w:qFormat/>
    <w:pPr>
      <w:contextualSpacing/>
      <w:jc w:val="left"/>
      <w:spacing w:before="300" w:after="200" w:line="240" w:lineRule="auto"/>
    </w:pPr>
    <w:rPr>
      <w:sz w:val="48"/>
    </w:rPr>
  </w:style>
  <w:style w:type="paragraph" w:styleId="644">
    <w:name w:val="Subtitle"/>
    <w:basedOn w:val="605"/>
    <w:qFormat/>
    <w:pPr>
      <w:jc w:val="left"/>
      <w:spacing w:before="200" w:after="200" w:line="240" w:lineRule="auto"/>
    </w:pPr>
    <w:rPr>
      <w:sz w:val="24"/>
    </w:rPr>
  </w:style>
  <w:style w:type="paragraph" w:styleId="645">
    <w:name w:val="Quote"/>
    <w:basedOn w:val="605"/>
    <w:qFormat/>
    <w:pPr>
      <w:jc w:val="left"/>
      <w:spacing w:before="0" w:after="0" w:line="240" w:lineRule="auto"/>
    </w:pPr>
    <w:rPr>
      <w:i/>
      <w:sz w:val="24"/>
    </w:rPr>
  </w:style>
  <w:style w:type="paragraph" w:styleId="646">
    <w:name w:val="Intense Quote"/>
    <w:basedOn w:val="605"/>
    <w:qFormat/>
    <w:pPr>
      <w:contextualSpacing/>
      <w:jc w:val="left"/>
      <w:spacing w:before="0" w:after="0" w:line="240" w:lineRule="auto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  <w:sz w:val="24"/>
    </w:rPr>
  </w:style>
  <w:style w:type="paragraph" w:styleId="647">
    <w:name w:val="Header and Footer"/>
    <w:basedOn w:val="605"/>
    <w:qFormat/>
  </w:style>
  <w:style w:type="paragraph" w:styleId="648">
    <w:name w:val="Header"/>
    <w:basedOn w:val="605"/>
    <w:pPr>
      <w:jc w:val="left"/>
      <w:spacing w:before="0" w:after="0" w:line="240" w:lineRule="auto"/>
      <w:tabs>
        <w:tab w:val="clear" w:pos="720" w:leader="none"/>
        <w:tab w:val="center" w:pos="7143" w:leader="none"/>
        <w:tab w:val="right" w:pos="14287" w:leader="none"/>
      </w:tabs>
    </w:pPr>
    <w:rPr>
      <w:sz w:val="24"/>
    </w:rPr>
  </w:style>
  <w:style w:type="paragraph" w:styleId="649">
    <w:name w:val="Footer"/>
    <w:basedOn w:val="605"/>
    <w:pPr>
      <w:jc w:val="left"/>
      <w:spacing w:before="0" w:after="0" w:line="240" w:lineRule="auto"/>
      <w:tabs>
        <w:tab w:val="clear" w:pos="720" w:leader="none"/>
        <w:tab w:val="center" w:pos="7143" w:leader="none"/>
        <w:tab w:val="right" w:pos="14287" w:leader="none"/>
      </w:tabs>
    </w:pPr>
    <w:rPr>
      <w:sz w:val="24"/>
    </w:rPr>
  </w:style>
  <w:style w:type="paragraph" w:styleId="650">
    <w:name w:val="Table Grid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51">
    <w:name w:val="Table Grid Light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52">
    <w:name w:val="Plain Table 1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53">
    <w:name w:val="Plain Table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54">
    <w:name w:val="Plain Table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55">
    <w:name w:val="Plain Table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56">
    <w:name w:val="Plain Table 5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57">
    <w:name w:val="Grid Table 1 Light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58">
    <w:name w:val="Grid Table 1 Light - Accent 1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59">
    <w:name w:val="Grid Table 1 Light - Accent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60">
    <w:name w:val="Grid Table 1 Light - Accent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61">
    <w:name w:val="Grid Table 1 Light - Accent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62">
    <w:name w:val="Grid Table 1 Light - Accent 5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63">
    <w:name w:val="Grid Table 1 Light - Accent 6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64">
    <w:name w:val="Grid Table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65">
    <w:name w:val="Grid Table 2 - Accent 1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66">
    <w:name w:val="Grid Table 2 - Accent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67">
    <w:name w:val="Grid Table 2 - Accent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68">
    <w:name w:val="Grid Table 2 - Accent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69">
    <w:name w:val="Grid Table 2 - Accent 5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70">
    <w:name w:val="Grid Table 2 - Accent 6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71">
    <w:name w:val="Grid Table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72">
    <w:name w:val="Grid Table 3 - Accent 1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73">
    <w:name w:val="Grid Table 3 - Accent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74">
    <w:name w:val="Grid Table 3 - Accent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75">
    <w:name w:val="Grid Table 3 - Accent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76">
    <w:name w:val="Grid Table 3 - Accent 5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77">
    <w:name w:val="Grid Table 3 - Accent 6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78">
    <w:name w:val="Grid Table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79">
    <w:name w:val="Grid Table 4 - Accent 1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80">
    <w:name w:val="Grid Table 4 - Accent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81">
    <w:name w:val="Grid Table 4 - Accent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82">
    <w:name w:val="Grid Table 4 - Accent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83">
    <w:name w:val="Grid Table 4 - Accent 5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84">
    <w:name w:val="Grid Table 4 - Accent 6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85">
    <w:name w:val="Grid Table 5 Dark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86">
    <w:name w:val="Grid Table 5 Dark- Accent 1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87">
    <w:name w:val="Grid Table 5 Dark - Accent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88">
    <w:name w:val="Grid Table 5 Dark - Accent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89">
    <w:name w:val="Grid Table 5 Dark- Accent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90">
    <w:name w:val="Grid Table 5 Dark - Accent 5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91">
    <w:name w:val="Grid Table 5 Dark - Accent 6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92">
    <w:name w:val="Grid Table 6 Colorful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93">
    <w:name w:val="Grid Table 6 Colorful - Accent 1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94">
    <w:name w:val="Grid Table 6 Colorful - Accent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95">
    <w:name w:val="Grid Table 6 Colorful - Accent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96">
    <w:name w:val="Grid Table 6 Colorful - Accent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97">
    <w:name w:val="Grid Table 6 Colorful - Accent 5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98">
    <w:name w:val="Grid Table 6 Colorful - Accent 6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699">
    <w:name w:val="Grid Table 7 Colorful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00">
    <w:name w:val="Grid Table 7 Colorful - Accent 1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01">
    <w:name w:val="Grid Table 7 Colorful - Accent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02">
    <w:name w:val="Grid Table 7 Colorful - Accent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03">
    <w:name w:val="Grid Table 7 Colorful - Accent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04">
    <w:name w:val="Grid Table 7 Colorful - Accent 5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05">
    <w:name w:val="Grid Table 7 Colorful - Accent 6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06">
    <w:name w:val="List Table 1 Light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07">
    <w:name w:val="List Table 1 Light - Accent 1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08">
    <w:name w:val="List Table 1 Light - Accent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09">
    <w:name w:val="List Table 1 Light - Accent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10">
    <w:name w:val="List Table 1 Light - Accent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11">
    <w:name w:val="List Table 1 Light - Accent 5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12">
    <w:name w:val="List Table 1 Light - Accent 6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13">
    <w:name w:val="List Table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14">
    <w:name w:val="List Table 2 - Accent 1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15">
    <w:name w:val="List Table 2 - Accent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16">
    <w:name w:val="List Table 2 - Accent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17">
    <w:name w:val="List Table 2 - Accent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18">
    <w:name w:val="List Table 2 - Accent 5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19">
    <w:name w:val="List Table 2 - Accent 6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20">
    <w:name w:val="List Table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21">
    <w:name w:val="List Table 3 - Accent 1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22">
    <w:name w:val="List Table 3 - Accent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23">
    <w:name w:val="List Table 3 - Accent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24">
    <w:name w:val="List Table 3 - Accent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25">
    <w:name w:val="List Table 3 - Accent 5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26">
    <w:name w:val="List Table 3 - Accent 6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27">
    <w:name w:val="List Table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28">
    <w:name w:val="List Table 4 - Accent 1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29">
    <w:name w:val="List Table 4 - Accent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30">
    <w:name w:val="List Table 4 - Accent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31">
    <w:name w:val="List Table 4 - Accent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32">
    <w:name w:val="List Table 4 - Accent 5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33">
    <w:name w:val="List Table 4 - Accent 6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34">
    <w:name w:val="List Table 5 Dark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35">
    <w:name w:val="List Table 5 Dark - Accent 1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36">
    <w:name w:val="List Table 5 Dark - Accent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37">
    <w:name w:val="List Table 5 Dark - Accent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38">
    <w:name w:val="List Table 5 Dark - Accent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39">
    <w:name w:val="List Table 5 Dark - Accent 5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40">
    <w:name w:val="List Table 5 Dark - Accent 6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41">
    <w:name w:val="List Table 6 Colorful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42">
    <w:name w:val="List Table 6 Colorful - Accent 1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43">
    <w:name w:val="List Table 6 Colorful - Accent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44">
    <w:name w:val="List Table 6 Colorful - Accent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45">
    <w:name w:val="List Table 6 Colorful - Accent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46">
    <w:name w:val="List Table 6 Colorful - Accent 5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47">
    <w:name w:val="List Table 6 Colorful - Accent 6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48">
    <w:name w:val="List Table 7 Colorful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49">
    <w:name w:val="List Table 7 Colorful - Accent 1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50">
    <w:name w:val="List Table 7 Colorful - Accent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51">
    <w:name w:val="List Table 7 Colorful - Accent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52">
    <w:name w:val="List Table 7 Colorful - Accent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53">
    <w:name w:val="List Table 7 Colorful - Accent 5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54">
    <w:name w:val="List Table 7 Colorful - Accent 6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55">
    <w:name w:val="Lined - Accent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404040"/>
      <w:sz w:val="24"/>
      <w:szCs w:val="24"/>
      <w:lang w:val="en-US" w:eastAsia="zh-CN" w:bidi="hi-IN"/>
    </w:rPr>
  </w:style>
  <w:style w:type="paragraph" w:styleId="756">
    <w:name w:val="Lined - Accent 1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404040"/>
      <w:sz w:val="24"/>
      <w:szCs w:val="24"/>
      <w:lang w:val="en-US" w:eastAsia="zh-CN" w:bidi="hi-IN"/>
    </w:rPr>
  </w:style>
  <w:style w:type="paragraph" w:styleId="757">
    <w:name w:val="Lined - Accent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404040"/>
      <w:sz w:val="24"/>
      <w:szCs w:val="24"/>
      <w:lang w:val="en-US" w:eastAsia="zh-CN" w:bidi="hi-IN"/>
    </w:rPr>
  </w:style>
  <w:style w:type="paragraph" w:styleId="758">
    <w:name w:val="Lined - Accent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404040"/>
      <w:sz w:val="24"/>
      <w:szCs w:val="24"/>
      <w:lang w:val="en-US" w:eastAsia="zh-CN" w:bidi="hi-IN"/>
    </w:rPr>
  </w:style>
  <w:style w:type="paragraph" w:styleId="759">
    <w:name w:val="Lined - Accent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404040"/>
      <w:sz w:val="24"/>
      <w:szCs w:val="24"/>
      <w:lang w:val="en-US" w:eastAsia="zh-CN" w:bidi="hi-IN"/>
    </w:rPr>
  </w:style>
  <w:style w:type="paragraph" w:styleId="760">
    <w:name w:val="Lined - Accent 5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404040"/>
      <w:sz w:val="24"/>
      <w:szCs w:val="24"/>
      <w:lang w:val="en-US" w:eastAsia="zh-CN" w:bidi="hi-IN"/>
    </w:rPr>
  </w:style>
  <w:style w:type="paragraph" w:styleId="761">
    <w:name w:val="Lined - Accent 6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404040"/>
      <w:sz w:val="24"/>
      <w:szCs w:val="24"/>
      <w:lang w:val="en-US" w:eastAsia="zh-CN" w:bidi="hi-IN"/>
    </w:rPr>
  </w:style>
  <w:style w:type="paragraph" w:styleId="762">
    <w:name w:val="Bordered &amp; Lined - Accent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404040"/>
      <w:sz w:val="24"/>
      <w:szCs w:val="24"/>
      <w:lang w:val="en-US" w:eastAsia="zh-CN" w:bidi="hi-IN"/>
    </w:rPr>
  </w:style>
  <w:style w:type="paragraph" w:styleId="763">
    <w:name w:val="Bordered &amp; Lined - Accent 1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404040"/>
      <w:sz w:val="24"/>
      <w:szCs w:val="24"/>
      <w:lang w:val="en-US" w:eastAsia="zh-CN" w:bidi="hi-IN"/>
    </w:rPr>
  </w:style>
  <w:style w:type="paragraph" w:styleId="764">
    <w:name w:val="Bordered &amp; Lined - Accent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404040"/>
      <w:sz w:val="24"/>
      <w:szCs w:val="24"/>
      <w:lang w:val="en-US" w:eastAsia="zh-CN" w:bidi="hi-IN"/>
    </w:rPr>
  </w:style>
  <w:style w:type="paragraph" w:styleId="765">
    <w:name w:val="Bordered &amp; Lined - Accent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404040"/>
      <w:sz w:val="24"/>
      <w:szCs w:val="24"/>
      <w:lang w:val="en-US" w:eastAsia="zh-CN" w:bidi="hi-IN"/>
    </w:rPr>
  </w:style>
  <w:style w:type="paragraph" w:styleId="766">
    <w:name w:val="Bordered &amp; Lined - Accent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404040"/>
      <w:sz w:val="24"/>
      <w:szCs w:val="24"/>
      <w:lang w:val="en-US" w:eastAsia="zh-CN" w:bidi="hi-IN"/>
    </w:rPr>
  </w:style>
  <w:style w:type="paragraph" w:styleId="767">
    <w:name w:val="Bordered &amp; Lined - Accent 5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404040"/>
      <w:sz w:val="24"/>
      <w:szCs w:val="24"/>
      <w:lang w:val="en-US" w:eastAsia="zh-CN" w:bidi="hi-IN"/>
    </w:rPr>
  </w:style>
  <w:style w:type="paragraph" w:styleId="768">
    <w:name w:val="Bordered &amp; Lined - Accent 6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404040"/>
      <w:sz w:val="24"/>
      <w:szCs w:val="24"/>
      <w:lang w:val="en-US" w:eastAsia="zh-CN" w:bidi="hi-IN"/>
    </w:rPr>
  </w:style>
  <w:style w:type="paragraph" w:styleId="769">
    <w:name w:val="Bordered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70">
    <w:name w:val="Bordered - Accent 1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71">
    <w:name w:val="Bordered - Accent 2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72">
    <w:name w:val="Bordered - Accent 3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73">
    <w:name w:val="Bordered - Accent 4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74">
    <w:name w:val="Bordered - Accent 5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75">
    <w:name w:val="Bordered - Accent 6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76">
    <w:name w:val="footnote text"/>
    <w:basedOn w:val="605"/>
    <w:pPr>
      <w:jc w:val="left"/>
      <w:spacing w:before="0" w:after="40" w:line="240" w:lineRule="auto"/>
    </w:pPr>
    <w:rPr>
      <w:sz w:val="18"/>
    </w:rPr>
  </w:style>
  <w:style w:type="paragraph" w:styleId="777">
    <w:name w:val="toc 1"/>
    <w:basedOn w:val="605"/>
    <w:pPr>
      <w:jc w:val="left"/>
      <w:spacing w:before="0" w:after="57" w:line="240" w:lineRule="auto"/>
    </w:pPr>
    <w:rPr>
      <w:sz w:val="24"/>
    </w:rPr>
  </w:style>
  <w:style w:type="paragraph" w:styleId="778">
    <w:name w:val="toc 2"/>
    <w:basedOn w:val="605"/>
    <w:pPr>
      <w:jc w:val="left"/>
      <w:spacing w:before="0" w:after="57" w:line="240" w:lineRule="auto"/>
    </w:pPr>
    <w:rPr>
      <w:sz w:val="24"/>
    </w:rPr>
  </w:style>
  <w:style w:type="paragraph" w:styleId="779">
    <w:name w:val="toc 3"/>
    <w:basedOn w:val="605"/>
    <w:pPr>
      <w:jc w:val="left"/>
      <w:spacing w:before="0" w:after="57" w:line="240" w:lineRule="auto"/>
    </w:pPr>
    <w:rPr>
      <w:sz w:val="24"/>
    </w:rPr>
  </w:style>
  <w:style w:type="paragraph" w:styleId="780">
    <w:name w:val="toc 4"/>
    <w:basedOn w:val="605"/>
    <w:pPr>
      <w:jc w:val="left"/>
      <w:spacing w:before="0" w:after="57" w:line="240" w:lineRule="auto"/>
    </w:pPr>
    <w:rPr>
      <w:sz w:val="24"/>
    </w:rPr>
  </w:style>
  <w:style w:type="paragraph" w:styleId="781">
    <w:name w:val="toc 5"/>
    <w:basedOn w:val="605"/>
    <w:pPr>
      <w:jc w:val="left"/>
      <w:spacing w:before="0" w:after="57" w:line="240" w:lineRule="auto"/>
    </w:pPr>
    <w:rPr>
      <w:sz w:val="24"/>
    </w:rPr>
  </w:style>
  <w:style w:type="paragraph" w:styleId="782">
    <w:name w:val="toc 6"/>
    <w:basedOn w:val="605"/>
    <w:pPr>
      <w:jc w:val="left"/>
      <w:spacing w:before="0" w:after="57" w:line="240" w:lineRule="auto"/>
    </w:pPr>
    <w:rPr>
      <w:sz w:val="24"/>
    </w:rPr>
  </w:style>
  <w:style w:type="paragraph" w:styleId="783">
    <w:name w:val="toc 7"/>
    <w:basedOn w:val="605"/>
    <w:pPr>
      <w:jc w:val="left"/>
      <w:spacing w:before="0" w:after="57" w:line="240" w:lineRule="auto"/>
    </w:pPr>
    <w:rPr>
      <w:sz w:val="24"/>
    </w:rPr>
  </w:style>
  <w:style w:type="paragraph" w:styleId="784">
    <w:name w:val="toc 8"/>
    <w:basedOn w:val="605"/>
    <w:pPr>
      <w:jc w:val="left"/>
      <w:spacing w:before="0" w:after="57" w:line="240" w:lineRule="auto"/>
    </w:pPr>
    <w:rPr>
      <w:sz w:val="24"/>
    </w:rPr>
  </w:style>
  <w:style w:type="paragraph" w:styleId="785">
    <w:name w:val="toc 9"/>
    <w:basedOn w:val="605"/>
    <w:pPr>
      <w:jc w:val="left"/>
      <w:spacing w:before="0" w:after="57" w:line="240" w:lineRule="auto"/>
    </w:pPr>
    <w:rPr>
      <w:sz w:val="24"/>
    </w:rPr>
  </w:style>
  <w:style w:type="paragraph" w:styleId="786">
    <w:name w:val="TOC Heading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paragraph" w:styleId="787">
    <w:name w:val="ConsPlusNormal"/>
    <w:qFormat/>
    <w:pPr>
      <w:jc w:val="left"/>
      <w:spacing w:before="0" w:after="0" w:line="240" w:lineRule="auto"/>
      <w:widowControl w:val="off"/>
    </w:pPr>
    <w:rPr>
      <w:rFonts w:ascii="  Arial" w:hAnsi="  Arial" w:eastAsia="  Courier New" w:cs="  Tahoma"/>
      <w:color w:val="auto"/>
      <w:sz w:val="16"/>
      <w:szCs w:val="24"/>
      <w:lang w:val="en-US" w:eastAsia="zh-CN" w:bidi="hi-IN"/>
    </w:rPr>
  </w:style>
  <w:style w:type="paragraph" w:styleId="788">
    <w:name w:val="ConsPlusNonformat"/>
    <w:qFormat/>
    <w:pPr>
      <w:jc w:val="left"/>
      <w:spacing w:before="0" w:after="0" w:line="240" w:lineRule="auto"/>
      <w:widowControl w:val="off"/>
    </w:pPr>
    <w:rPr>
      <w:rFonts w:ascii="  Courier New" w:hAnsi="  Courier New" w:eastAsia="  Courier New" w:cs="  Tahoma"/>
      <w:color w:val="auto"/>
      <w:sz w:val="20"/>
      <w:szCs w:val="24"/>
      <w:lang w:val="en-US" w:eastAsia="zh-CN" w:bidi="hi-IN"/>
    </w:rPr>
  </w:style>
  <w:style w:type="paragraph" w:styleId="789">
    <w:name w:val="ConsPlusTitle"/>
    <w:qFormat/>
    <w:pPr>
      <w:jc w:val="left"/>
      <w:spacing w:before="0" w:after="0" w:line="240" w:lineRule="auto"/>
      <w:widowControl w:val="off"/>
    </w:pPr>
    <w:rPr>
      <w:rFonts w:ascii="  Arial" w:hAnsi="  Arial" w:eastAsia="  Courier New" w:cs="  Tahoma"/>
      <w:b/>
      <w:color w:val="auto"/>
      <w:sz w:val="16"/>
      <w:szCs w:val="24"/>
      <w:lang w:val="en-US" w:eastAsia="zh-CN" w:bidi="hi-IN"/>
    </w:rPr>
  </w:style>
  <w:style w:type="paragraph" w:styleId="790">
    <w:name w:val="ConsPlusCell"/>
    <w:qFormat/>
    <w:pPr>
      <w:jc w:val="left"/>
      <w:spacing w:before="0" w:after="0" w:line="240" w:lineRule="auto"/>
      <w:widowControl w:val="off"/>
    </w:pPr>
    <w:rPr>
      <w:rFonts w:ascii="  Courier New" w:hAnsi="  Courier New" w:eastAsia="  Courier New" w:cs="  Tahoma"/>
      <w:color w:val="auto"/>
      <w:sz w:val="20"/>
      <w:szCs w:val="24"/>
      <w:lang w:val="en-US" w:eastAsia="zh-CN" w:bidi="hi-IN"/>
    </w:rPr>
  </w:style>
  <w:style w:type="paragraph" w:styleId="791">
    <w:name w:val="ConsPlusDocList"/>
    <w:qFormat/>
    <w:pPr>
      <w:jc w:val="left"/>
      <w:spacing w:before="0" w:after="0" w:line="240" w:lineRule="auto"/>
      <w:widowControl w:val="off"/>
    </w:pPr>
    <w:rPr>
      <w:rFonts w:ascii="  Courier New" w:hAnsi="  Courier New" w:eastAsia="  Courier New" w:cs="  Tahoma"/>
      <w:color w:val="auto"/>
      <w:sz w:val="16"/>
      <w:szCs w:val="24"/>
      <w:lang w:val="en-US" w:eastAsia="zh-CN" w:bidi="hi-IN"/>
    </w:rPr>
  </w:style>
  <w:style w:type="paragraph" w:styleId="792">
    <w:name w:val="ConsPlusTitlePage"/>
    <w:qFormat/>
    <w:pPr>
      <w:jc w:val="left"/>
      <w:spacing w:before="0" w:after="0" w:line="240" w:lineRule="auto"/>
      <w:widowControl w:val="off"/>
    </w:pPr>
    <w:rPr>
      <w:rFonts w:ascii="  Tahoma" w:hAnsi="  Tahoma" w:eastAsia="  Courier New" w:cs="  Tahoma"/>
      <w:color w:val="auto"/>
      <w:sz w:val="16"/>
      <w:szCs w:val="24"/>
      <w:lang w:val="en-US" w:eastAsia="zh-CN" w:bidi="hi-IN"/>
    </w:rPr>
  </w:style>
  <w:style w:type="paragraph" w:styleId="793">
    <w:name w:val="ConsPlusJurTerm"/>
    <w:qFormat/>
    <w:pPr>
      <w:jc w:val="left"/>
      <w:spacing w:before="0" w:after="0" w:line="240" w:lineRule="auto"/>
      <w:widowControl w:val="off"/>
    </w:pPr>
    <w:rPr>
      <w:rFonts w:ascii="  Tahoma" w:hAnsi="  Tahoma" w:eastAsia="  Courier New" w:cs="  Tahoma"/>
      <w:color w:val="auto"/>
      <w:sz w:val="26"/>
      <w:szCs w:val="24"/>
      <w:lang w:val="en-US" w:eastAsia="zh-CN" w:bidi="hi-IN"/>
    </w:rPr>
  </w:style>
  <w:style w:type="paragraph" w:styleId="794">
    <w:name w:val="ConsPlusTextList"/>
    <w:qFormat/>
    <w:pPr>
      <w:jc w:val="left"/>
      <w:spacing w:before="0" w:after="0" w:line="240" w:lineRule="auto"/>
      <w:widowControl w:val="off"/>
    </w:pPr>
    <w:rPr>
      <w:rFonts w:ascii="  Arial" w:hAnsi="  Arial" w:eastAsia="  Courier New" w:cs="  Tahoma"/>
      <w:color w:val="auto"/>
      <w:sz w:val="20"/>
      <w:szCs w:val="24"/>
      <w:lang w:val="en-US" w:eastAsia="zh-CN" w:bidi="hi-IN"/>
    </w:rPr>
  </w:style>
  <w:style w:type="paragraph" w:styleId="795" w:default="1">
    <w:name w:val="Normal Table"/>
    <w:qFormat/>
    <w:pPr>
      <w:jc w:val="left"/>
      <w:spacing w:before="0" w:after="0" w:line="240" w:lineRule="auto"/>
      <w:widowControl w:val="off"/>
    </w:pPr>
    <w:rPr>
      <w:rFonts w:ascii="  Times New Roman" w:hAnsi="  Times New Roman" w:eastAsia="  Courier New" w:cs="  Tahoma"/>
      <w:color w:val="auto"/>
      <w:sz w:val="24"/>
      <w:szCs w:val="24"/>
      <w:lang w:val="en-US" w:eastAsia="zh-CN" w:bidi="hi-IN"/>
    </w:rPr>
  </w:style>
  <w:style w:type="numbering" w:styleId="137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consultantplus://offline/ref=A682E10DFA928B6EEA87903D3959FC08908B1CBEB8FE3926C2CE1CE070322DFCE41B9F7843AC09FDCCDD687342B6D1DFF5AAE0E657M9YCL" TargetMode="External"/><Relationship Id="rId10" Type="http://schemas.openxmlformats.org/officeDocument/2006/relationships/hyperlink" Target="consultantplus://offline/ref=A682E10DFA928B6EEA87903D3959FC08908B1CBEB8FE3926C2CE1CE070322DFCE41B9F7841A309FDCCDD687342B6D1DFF5AAE0E657M9YCL" TargetMode="External"/><Relationship Id="rId11" Type="http://schemas.openxmlformats.org/officeDocument/2006/relationships/hyperlink" Target="consultantplus://offline/ref=A682E10DFA928B6EEA87903D3959FC08908B1CBEB8FE3926C2CE1CE070322DFCE41B9F7E41AD06A2C9C8792B4FB4CDC0F5B5FCE4559CMDY9L" TargetMode="External"/><Relationship Id="rId12" Type="http://schemas.openxmlformats.org/officeDocument/2006/relationships/hyperlink" Target="consultantplus://offline/ref=A682E10DFA928B6EEA87903D3959FC08908B1CBEB8FE3926C2CE1CE070322DFCE41B9F7E41AD06A2C9C8792B4FB4CDC0F5B5FCE4559CMDY9L" TargetMode="External"/><Relationship Id="rId13" Type="http://schemas.openxmlformats.org/officeDocument/2006/relationships/hyperlink" Target="consultantplus://offline/ref=A682E10DFA928B6EEA87903D3959FC08908B16B0BDF93926C2CE1CE070322DFCE41B9F7740AE56F8D9CC307E40AACEDFEAB6E2E4M5Y7L" TargetMode="External"/><Relationship Id="rId14" Type="http://schemas.openxmlformats.org/officeDocument/2006/relationships/hyperlink" Target="consultantplus://offline/ref=A682E10DFA928B6EEA87903D3959FC08908816B9B9FB3926C2CE1CE070322DFCE41B9F7E42A502AB9492692F06E1C2DEF6AAE3E74B9CDBEDM5YFL" TargetMode="External"/><Relationship Id="rId15" Type="http://schemas.openxmlformats.org/officeDocument/2006/relationships/hyperlink" Target="consultantplus://offline/ref=A682E10DFA928B6EEA87903D3959FC08908A1FBBB2FD3926C2CE1CE070322DFCE41B9F7E42A502AF9592692F06E1C2DEF6AAE3E74B9CDBEDM5YFL" TargetMode="External"/><Relationship Id="rId16" Type="http://schemas.openxmlformats.org/officeDocument/2006/relationships/hyperlink" Target="consultantplus://offline/ref=A682E10DFA928B6EEA87903D3959FC08908A1FBBB2FD3926C2CE1CE070322DFCE41B9F7E42AD00A89A92692F06E1C2DEF6AAE3E74B9CDBEDM5YFL" TargetMode="External"/><Relationship Id="rId17" Type="http://schemas.openxmlformats.org/officeDocument/2006/relationships/hyperlink" Target="consultantplus://offline/ref=A682E10DFA928B6EEA87903D3959FC08908A1FBBB2FD3926C2CE1CE070322DFCE41B9F7E42A502AD9D92692F06E1C2DEF6AAE3E74B9CDBEDM5YFL" TargetMode="External"/><Relationship Id="rId18" Type="http://schemas.openxmlformats.org/officeDocument/2006/relationships/hyperlink" Target="consultantplus://offline/ref=A682E10DFA928B6EEA87903D3959FC08908A1FBBB2FD3926C2CE1CE070322DFCE41B9F7E42A503AF9A92692F06E1C2DEF6AAE3E74B9CDBEDM5YFL" TargetMode="External"/><Relationship Id="rId19" Type="http://schemas.openxmlformats.org/officeDocument/2006/relationships/hyperlink" Target="consultantplus://offline/ref=A682E10DFA928B6EEA87903D3959FC08908A1FBBB2FD3926C2CE1CE070322DFCE41B9F7E42AD00AD9B92692F06E1C2DEF6AAE3E74B9CDBEDM5YFL" TargetMode="External"/><Relationship Id="rId20" Type="http://schemas.openxmlformats.org/officeDocument/2006/relationships/hyperlink" Target="consultantplus://offline/ref=A682E10DFA928B6EEA87903D3959FC08908A1FBBB2FD3926C2CE1CE070322DFCE41B9F7E42A502AD9C92692F06E1C2DEF6AAE3E74B9CDBEDM5YFL" TargetMode="External"/><Relationship Id="rId21" Type="http://schemas.openxmlformats.org/officeDocument/2006/relationships/hyperlink" Target="consultantplus://offline/ref=A682E10DFA928B6EEA87903D3959FC08908A1FBBB2FD3926C2CE1CE070322DFCE41B9F7E42A500AE9A92692F06E1C2DEF6AAE3E74B9CDBEDM5YFL" TargetMode="External"/><Relationship Id="rId22" Type="http://schemas.openxmlformats.org/officeDocument/2006/relationships/hyperlink" Target="consultantplus://offline/ref=A682E10DFA928B6EEA87903D3959FC08908A1FBBB2FD3926C2CE1CE070322DFCE41B9F7E42AD00A19892692F06E1C2DEF6AAE3E74B9CDBEDM5YFL" TargetMode="External"/><Relationship Id="rId23" Type="http://schemas.openxmlformats.org/officeDocument/2006/relationships/hyperlink" Target="consultantplus://offline/ref=A682E10DFA928B6EEA87903D3959FC08908A1FBBB2FD3926C2CE1CE070322DFCE41B9F7E42A502AD9F92692F06E1C2DEF6AAE3E74B9CDBEDM5YFL" TargetMode="External"/><Relationship Id="rId24" Type="http://schemas.openxmlformats.org/officeDocument/2006/relationships/hyperlink" Target="consultantplus://offline/ref=A682E10DFA928B6EEA87903D3959FC08908A1FBBB2FD3926C2CE1CE070322DFCE41B9F7E42A501A09B92692F06E1C2DEF6AAE3E74B9CDBEDM5YFL" TargetMode="External"/><Relationship Id="rId25" Type="http://schemas.openxmlformats.org/officeDocument/2006/relationships/hyperlink" Target="consultantplus://offline/ref=A682E10DFA928B6EEA87903D3959FC08908A1FBBB2FD3926C2CE1CE070322DFCE41B9F7E42AD01A99592692F06E1C2DEF6AAE3E74B9CDBEDM5YFL" TargetMode="External"/><Relationship Id="rId26" Type="http://schemas.openxmlformats.org/officeDocument/2006/relationships/hyperlink" Target="consultantplus://offline/ref=A682E10DFA928B6EEA87903D3959FC08908A1FBBB2FD3926C2CE1CE070322DFCE41B9F7E42A502AD9E92692F06E1C2DEF6AAE3E74B9CDBEDM5YFL" TargetMode="External"/><Relationship Id="rId27" Type="http://schemas.openxmlformats.org/officeDocument/2006/relationships/hyperlink" Target="consultantplus://offline/ref=A682E10DFA928B6EEA87903D3959FC08908A1FBBB2FD3926C2CE1CE070322DFCE41B9F7E42A507A89B92692F06E1C2DEF6AAE3E74B9CDBEDM5YFL" TargetMode="External"/><Relationship Id="rId28" Type="http://schemas.openxmlformats.org/officeDocument/2006/relationships/hyperlink" Target="consultantplus://offline/ref=A682E10DFA928B6EEA87903D3959FC08908A1FBBB2FD3926C2CE1CE070322DFCE41B9F7E42AD01AA9892692F06E1C2DEF6AAE3E74B9CDBEDM5YFL" TargetMode="External"/><Relationship Id="rId29" Type="http://schemas.openxmlformats.org/officeDocument/2006/relationships/hyperlink" Target="consultantplus://offline/ref=A682E10DFA928B6EEA87903D3959FC08908A1FBBB2FD3926C2CE1CE070322DFCE41B9F7E42A502AD9992692F06E1C2DEF6AAE3E74B9CDBEDM5YFL" TargetMode="External"/><Relationship Id="rId30" Type="http://schemas.openxmlformats.org/officeDocument/2006/relationships/hyperlink" Target="consultantplus://offline/ref=A682E10DFA928B6EEA87903D3959FC08908A1FBBB2FD3926C2CE1CE070322DFCE41B9F7E42A504A99B92692F06E1C2DEF6AAE3E74B9CDBEDM5YFL" TargetMode="External"/><Relationship Id="rId31" Type="http://schemas.openxmlformats.org/officeDocument/2006/relationships/hyperlink" Target="consultantplus://offline/ref=A682E10DFA928B6EEA87903D3959FC08908A1FBBB2FD3926C2CE1CE070322DFCE41B9F7E42AD01AC9492692F06E1C2DEF6AAE3E74B9CDBEDM5YFL" TargetMode="External"/><Relationship Id="rId32" Type="http://schemas.openxmlformats.org/officeDocument/2006/relationships/hyperlink" Target="consultantplus://offline/ref=A682E10DFA928B6EEA87903D3959FC08908A1FBBB2FD3926C2CE1CE070322DFCE41B9F7E42A502AD9892692F06E1C2DEF6AAE3E74B9CDBEDM5YFL" TargetMode="External"/><Relationship Id="rId33" Type="http://schemas.openxmlformats.org/officeDocument/2006/relationships/hyperlink" Target="consultantplus://offline/ref=A682E10DFA928B6EEA87903D3959FC08908A1FBBB2FD3926C2CE1CE070322DFCE41B9F7E42A504A19892692F06E1C2DEF6AAE3E74B9CDBEDM5YFL" TargetMode="External"/><Relationship Id="rId34" Type="http://schemas.openxmlformats.org/officeDocument/2006/relationships/hyperlink" Target="consultantplus://offline/ref=A682E10DFA928B6EEA87903D3959FC08908A1FBBB2FD3926C2CE1CE070322DFCE41B9F7E42AD01AE9B92692F06E1C2DEF6AAE3E74B9CDBEDM5YFL" TargetMode="External"/><Relationship Id="rId35" Type="http://schemas.openxmlformats.org/officeDocument/2006/relationships/hyperlink" Target="consultantplus://offline/ref=A682E10DFA928B6EEA87903D3959FC08908A1FBBB2FD3926C2CE1CE070322DFCE41B9F7E42A502AD9B92692F06E1C2DEF6AAE3E74B9CDBEDM5YFL" TargetMode="External"/><Relationship Id="rId36" Type="http://schemas.openxmlformats.org/officeDocument/2006/relationships/hyperlink" Target="consultantplus://offline/ref=A682E10DFA928B6EEA87903D3959FC08908A1FBBB2FD3926C2CE1CE070322DFCE41B9F7E42A50AAC9E92692F06E1C2DEF6AAE3E74B9CDBEDM5YFL" TargetMode="External"/><Relationship Id="rId37" Type="http://schemas.openxmlformats.org/officeDocument/2006/relationships/hyperlink" Target="consultantplus://offline/ref=A682E10DFA928B6EEA87903D3959FC08908A1FBBB2FD3926C2CE1CE070322DFCE41B9F7E42AD06AB9992692F06E1C2DEF6AAE3E74B9CDBEDM5YFL" TargetMode="External"/><Relationship Id="rId38" Type="http://schemas.openxmlformats.org/officeDocument/2006/relationships/hyperlink" Target="consultantplus://offline/ref=A682E10DFA928B6EEA87903D3959FC08908A1FBBB2FD3926C2CE1CE070322DFCE41B9F7E42A502AD9A92692F06E1C2DEF6AAE3E74B9CDBEDM5YFL" TargetMode="External"/><Relationship Id="rId39" Type="http://schemas.openxmlformats.org/officeDocument/2006/relationships/hyperlink" Target="consultantplus://offline/ref=A682E10DFA928B6EEA87903D3959FC08908A1FBBB2FD3926C2CE1CE070322DFCE41B9F7E42A402AB9992692F06E1C2DEF6AAE3E74B9CDBEDM5YFL" TargetMode="External"/><Relationship Id="rId40" Type="http://schemas.openxmlformats.org/officeDocument/2006/relationships/hyperlink" Target="consultantplus://offline/ref=A682E10DFA928B6EEA87903D3959FC08908A1FBBB2FD3926C2CE1CE070322DFCE41B9F7E42AD06AF9892692F06E1C2DEF6AAE3E74B9CDBEDM5YFL" TargetMode="External"/><Relationship Id="rId41" Type="http://schemas.openxmlformats.org/officeDocument/2006/relationships/hyperlink" Target="consultantplus://offline/ref=A682E10DFA928B6EEA87903D3959FC08908A1FBBB2FD3926C2CE1CE070322DFCE41B9F7E42A502AD9592692F06E1C2DEF6AAE3E74B9CDBEDM5YFL" TargetMode="External"/><Relationship Id="rId42" Type="http://schemas.openxmlformats.org/officeDocument/2006/relationships/hyperlink" Target="consultantplus://offline/ref=A682E10DFA928B6EEA87903D3959FC08908A1FBBB2FD3926C2CE1CE070322DFCE41B9F7E42A403A89A92692F06E1C2DEF6AAE3E74B9CDBEDM5YFL" TargetMode="External"/><Relationship Id="rId43" Type="http://schemas.openxmlformats.org/officeDocument/2006/relationships/hyperlink" Target="consultantplus://offline/ref=A682E10DFA928B6EEA87903D3959FC08908A1FBBB2FD3926C2CE1CE070322DFCE41B9F7E42AD06A19492692F06E1C2DEF6AAE3E74B9CDBEDM5YFL" TargetMode="External"/><Relationship Id="rId44" Type="http://schemas.openxmlformats.org/officeDocument/2006/relationships/hyperlink" Target="consultantplus://offline/ref=A682E10DFA928B6EEA87903D3959FC08908A1FBBB2FD3926C2CE1CE070322DFCE41B9F7E42A502AD9492692F06E1C2DEF6AAE3E74B9CDBEDM5YFL" TargetMode="External"/><Relationship Id="rId45" Type="http://schemas.openxmlformats.org/officeDocument/2006/relationships/hyperlink" Target="consultantplus://offline/ref=A682E10DFA928B6EEA87903D3959FC08908A1FBBB2FD3926C2CE1CE070322DFCE41B9F7E42A400AE9492692F06E1C2DEF6AAE3E74B9CDBEDM5YFL" TargetMode="External"/><Relationship Id="rId46" Type="http://schemas.openxmlformats.org/officeDocument/2006/relationships/hyperlink" Target="consultantplus://offline/ref=A682E10DFA928B6EEA87903D3959FC08908A1FBBB2FD3926C2CE1CE070322DFCE41B9F7E42AD03AD9592692F06E1C2DEF6AAE3E74B9CDBEDM5YFL" TargetMode="External"/><Relationship Id="rId47" Type="http://schemas.openxmlformats.org/officeDocument/2006/relationships/hyperlink" Target="consultantplus://offline/ref=A682E10DFA928B6EEA87903D3959FC08908A1FBBB2FD3926C2CE1CE070322DFCE41B9F7E42A502AC9D92692F06E1C2DEF6AAE3E74B9CDBEDM5YFL" TargetMode="External"/><Relationship Id="rId48" Type="http://schemas.openxmlformats.org/officeDocument/2006/relationships/hyperlink" Target="consultantplus://offline/ref=A682E10DFA928B6EEA87903D3959FC08908A1FBBB2FD3926C2CE1CE070322DFCE41B9F7E42A502AF9892692F06E1C2DEF6AAE3E74B9CDBEDM5YFL" TargetMode="External"/><Relationship Id="rId49" Type="http://schemas.openxmlformats.org/officeDocument/2006/relationships/hyperlink" Target="consultantplus://offline/ref=A682E10DFA928B6EEA87903D3959FC08958918B9B2FD3926C2CE1CE070322DFCE41B9F7E42A501AB9B92692F06E1C2DEF6AAE3E74B9CDBEDM5YFL" TargetMode="External"/><Relationship Id="rId50" Type="http://schemas.openxmlformats.org/officeDocument/2006/relationships/hyperlink" Target="consultantplus://offline/ref=A682E10DFA928B6EEA87903D3959FC08978317BFBDFA3926C2CE1CE070322DFCE41B9F7E42A502AC9E92692F06E1C2DEF6AAE3E74B9CDBEDM5YFL" TargetMode="External"/><Relationship Id="rId51" Type="http://schemas.openxmlformats.org/officeDocument/2006/relationships/hyperlink" Target="consultantplus://offline/ref=A682E10DFA928B6EEA87903D3959FC08908A1EB9BAFB3926C2CE1CE070322DFCE41B9F7E42A502A89E92692F06E1C2DEF6AAE3E74B9CDBEDM5YFL" TargetMode="External"/><Relationship Id="rId52" Type="http://schemas.openxmlformats.org/officeDocument/2006/relationships/hyperlink" Target="consultantplus://offline/ref=A682E10DFA928B6EEA87903D3959FC08978317BFBDFA3926C2CE1CE070322DFCE41B9F7E42A502AB9892692F06E1C2DEF6AAE3E74B9CDBEDM5YFL" TargetMode="External"/><Relationship Id="rId53" Type="http://schemas.openxmlformats.org/officeDocument/2006/relationships/hyperlink" Target="consultantplus://offline/ref=A682E10DFA928B6EEA87903D3959FC08978317BFBDFA3926C2CE1CE070322DFCE41B9F7E42A502A09992692F06E1C2DEF6AAE3E74B9CDBEDM5YFL" TargetMode="External"/><Relationship Id="rId54" Type="http://schemas.openxmlformats.org/officeDocument/2006/relationships/hyperlink" Target="consultantplus://offline/ref=A682E10DFA928B6EEA87903D3959FC08978317BFBDFA3926C2CE1CE070322DFCE41B9F7E42A502AB9B92692F06E1C2DEF6AAE3E74B9CDBEDM5YFL" TargetMode="External"/><Relationship Id="rId55" Type="http://schemas.openxmlformats.org/officeDocument/2006/relationships/hyperlink" Target="consultantplus://offline/ref=A682E10DFA928B6EEA87903D3959FC08978317BFBDFA3926C2CE1CE070322DFCF61BC77242A71CA89C873F7E40MBY6L" TargetMode="External"/><Relationship Id="rId56" Type="http://schemas.openxmlformats.org/officeDocument/2006/relationships/hyperlink" Target="consultantplus://offline/ref=A682E10DFA928B6EEA87903D3959FC08978317BFBDFA3926C2CE1CE070322DFCF61BC77242A71CA89C873F7E40MBY6L" TargetMode="External"/><Relationship Id="rId57" Type="http://schemas.openxmlformats.org/officeDocument/2006/relationships/hyperlink" Target="consultantplus://offline/ref=A682E10DFA928B6EEA87903D3959FC08908A17BABEF53926C2CE1CE070322DFCE41B9F7E42A502A89D92692F06E1C2DEF6AAE3E74B9CDBEDM5YFL" TargetMode="External"/><Relationship Id="rId58" Type="http://schemas.openxmlformats.org/officeDocument/2006/relationships/hyperlink" Target="consultantplus://offline/ref=A682E10DFA928B6EEA87903D3959FC08908A1FBBB2FD3926C2CE1CE070322DFCE41B9F7E42A502AC9F92692F06E1C2DEF6AAE3E74B9CDBEDM5YFL" TargetMode="External"/><Relationship Id="rId59" Type="http://schemas.openxmlformats.org/officeDocument/2006/relationships/hyperlink" Target="consultantplus://offline/ref=A682E10DFA928B6EEA87903D3959FC08908A1FBBB2FD3926C2CE1CE070322DFCE41B9F7E42A502AC9E92692F06E1C2DEF6AAE3E74B9CDBEDM5YFL" TargetMode="External"/><Relationship Id="rId60" Type="http://schemas.openxmlformats.org/officeDocument/2006/relationships/hyperlink" Target="consultantplus://offline/ref=A682E10DFA928B6EEA87903D3959FC08978317BFBDFA3926C2CE1CE070322DFCE41B9F7E42A502AB9A92692F06E1C2DEF6AAE3E74B9CDBEDM5YFL" TargetMode="External"/><Relationship Id="rId61" Type="http://schemas.openxmlformats.org/officeDocument/2006/relationships/hyperlink" Target="consultantplus://offline/ref=A682E10DFA928B6EEA87903D3959FC08908A1FBBB2FD3926C2CE1CE070322DFCE41B9F7E42A502AF9592692F06E1C2DEF6AAE3E74B9CDBEDM5YFL" TargetMode="External"/><Relationship Id="rId62" Type="http://schemas.openxmlformats.org/officeDocument/2006/relationships/hyperlink" Target="consultantplus://offline/ref=A682E10DFA928B6EEA87903D3959FC08908A1FBBB2FD3926C2CE1CE070322DFCE41B9F7E42A504A99B92692F06E1C2DEF6AAE3E74B9CDBEDM5YFL" TargetMode="External"/><Relationship Id="rId63" Type="http://schemas.openxmlformats.org/officeDocument/2006/relationships/hyperlink" Target="consultantplus://offline/ref=A682E10DFA928B6EEA87903D3959FC08908A1FBBB2FD3926C2CE1CE070322DFCE41B9F7E42A402AB9992692F06E1C2DEF6AAE3E74B9CDBEDM5YFL" TargetMode="External"/><Relationship Id="rId64" Type="http://schemas.openxmlformats.org/officeDocument/2006/relationships/hyperlink" Target="consultantplus://offline/ref=A682E10DFA928B6EEA87903D3959FC08908A1FBBB2FD3926C2CE1CE070322DFCE41B9F7E42A403A89A92692F06E1C2DEF6AAE3E74B9CDBEDM5YFL" TargetMode="External"/><Relationship Id="rId65" Type="http://schemas.openxmlformats.org/officeDocument/2006/relationships/hyperlink" Target="consultantplus://offline/ref=A682E10DFA928B6EEA87903D3959FC08908A1FBBB2FD3926C2CE1CE070322DFCE41B9F7E42A504A19892692F06E1C2DEF6AAE3E74B9CDBEDM5YFL" TargetMode="External"/><Relationship Id="rId66" Type="http://schemas.openxmlformats.org/officeDocument/2006/relationships/hyperlink" Target="consultantplus://offline/ref=A682E10DFA928B6EEA87903D3959FC08908A1FBBB2FD3926C2CE1CE070322DFCE41B9F7E42A50AAC9E92692F06E1C2DEF6AAE3E74B9CDBEDM5YFL" TargetMode="External"/><Relationship Id="rId67" Type="http://schemas.openxmlformats.org/officeDocument/2006/relationships/hyperlink" Target="consultantplus://offline/ref=A682E10DFA928B6EEA87903D3959FC08908A1FBBB2FD3926C2CE1CE070322DFCE41B9F7E42A502AC9D92692F06E1C2DEF6AAE3E74B9CDBEDM5YFL" TargetMode="External"/><Relationship Id="rId68" Type="http://schemas.openxmlformats.org/officeDocument/2006/relationships/hyperlink" Target="consultantplus://offline/ref=A682E10DFA928B6EEA87903D3959FC08978317BFBDFA3926C2CE1CE070322DFCE41B9F7E42A502AB9A92692F06E1C2DEF6AAE3E74B9CDBEDM5YFL" TargetMode="External"/><Relationship Id="rId69" Type="http://schemas.openxmlformats.org/officeDocument/2006/relationships/hyperlink" Target="consultantplus://offline/ref=A682E10DFA928B6EEA87903D3959FC0890881CB8BEFA3926C2CE1CE070322DFCF61BC77242A71CA89C873F7E40MBY6L" TargetMode="External"/><Relationship Id="rId70" Type="http://schemas.openxmlformats.org/officeDocument/2006/relationships/hyperlink" Target="consultantplus://offline/ref=A682E10DFA928B6EEA87903D3959FC08908A1FBBB2FD3926C2CE1CE070322DFCE41B9F7E42A502AC9C92692F06E1C2DEF6AAE3E74B9CDBEDM5YFL" TargetMode="External"/><Relationship Id="rId71" Type="http://schemas.openxmlformats.org/officeDocument/2006/relationships/hyperlink" Target="consultantplus://offline/ref=A682E10DFA928B6EEA87903D3959FC08908A1FBBB2FD3926C2CE1CE070322DFCE41B9F7E42A400AE9492692F06E1C2DEF6AAE3E74B9CDBEDM5YFL" TargetMode="External"/><Relationship Id="rId72" Type="http://schemas.openxmlformats.org/officeDocument/2006/relationships/hyperlink" Target="consultantplus://offline/ref=A682E10DFA928B6EEA87903D3959FC08958918B9B2FD3926C2CE1CE070322DFCE41B9F7E42A501AA9592692F06E1C2DEF6AAE3E74B9CDBEDM5YFL" TargetMode="External"/><Relationship Id="rId73" Type="http://schemas.openxmlformats.org/officeDocument/2006/relationships/hyperlink" Target="consultantplus://offline/ref=A682E10DFA928B6EEA87903D3959FC08958918BBBDF53926C2CE1CE070322DFCE41B9F7E42A502AB9C92692F06E1C2DEF6AAE3E74B9CDBEDM5YFL" TargetMode="External"/><Relationship Id="rId74" Type="http://schemas.openxmlformats.org/officeDocument/2006/relationships/hyperlink" Target="consultantplus://offline/ref=A682E10DFA928B6EEA87903D3959FC0890881CBBB2F53926C2CE1CE070322DFCE41B9F7E42A502A89E92692F06E1C2DEF6AAE3E74B9CDBEDM5YFL" TargetMode="External"/><Relationship Id="rId75" Type="http://schemas.openxmlformats.org/officeDocument/2006/relationships/hyperlink" Target="consultantplus://offline/ref=A682E10DFA928B6EEA87903D3959FC08978317BFBDFA3926C2CE1CE070322DFCE41B9F7E42A502AB9592692F06E1C2DEF6AAE3E74B9CDBEDM5YFL" TargetMode="External"/><Relationship Id="rId76" Type="http://schemas.openxmlformats.org/officeDocument/2006/relationships/hyperlink" Target="consultantplus://offline/ref=A682E10DFA928B6EEA87903D3959FC0890881CBBB2F53926C2CE1CE070322DFCE41B9F7E42A503A89F92692F06E1C2DEF6AAE3E74B9CDBEDM5YFL" TargetMode="External"/><Relationship Id="rId77" Type="http://schemas.openxmlformats.org/officeDocument/2006/relationships/hyperlink" Target="consultantplus://offline/ref=A682E10DFA928B6EEA87903D3959FC08908A1FBBB2FD3926C2CE1CE070322DFCE41B9F7E42A502AC9B92692F06E1C2DEF6AAE3E74B9CDBEDM5YFL" TargetMode="External"/><Relationship Id="rId78" Type="http://schemas.openxmlformats.org/officeDocument/2006/relationships/hyperlink" Target="consultantplus://offline/ref=A682E10DFA928B6EEA87903D3959FC08978317BFBDFA3926C2CE1CE070322DFCE41B9F7E42A502AA9F92692F06E1C2DEF6AAE3E74B9CDBEDM5YFL" TargetMode="External"/><Relationship Id="rId79" Type="http://schemas.openxmlformats.org/officeDocument/2006/relationships/hyperlink" Target="consultantplus://offline/ref=A682E10DFA928B6EEA87903D3959FC08978317BFBDFA3926C2CE1CE070322DFCE41B9F7E42A502AA9B92692F06E1C2DEF6AAE3E74B9CDBEDM5YFL" TargetMode="External"/><Relationship Id="rId80" Type="http://schemas.openxmlformats.org/officeDocument/2006/relationships/hyperlink" Target="consultantplus://offline/ref=A682E10DFA928B6EEA87903D3959FC08908A1FBBB2FD3926C2CE1CE070322DFCE41B9F7E42A502AC9A92692F06E1C2DEF6AAE3E74B9CDBEDM5YFL" TargetMode="External"/><Relationship Id="rId81" Type="http://schemas.openxmlformats.org/officeDocument/2006/relationships/hyperlink" Target="consultantplus://offline/ref=A682E10DFA928B6EEA87903D3959FC08908A1FBBB2FD3926C2CE1CE070322DFCE41B9F7E42A502AC9492692F06E1C2DEF6AAE3E74B9CDBEDM5YFL" TargetMode="External"/><Relationship Id="rId82" Type="http://schemas.openxmlformats.org/officeDocument/2006/relationships/hyperlink" Target="consultantplus://offline/ref=A682E10DFA928B6EEA87903D3959FC08908A1FBBB2FD3926C2CE1CE070322DFCE41B9F7E42A400AA9D92692F06E1C2DEF6AAE3E74B9CDBEDM5YFL" TargetMode="External"/><Relationship Id="rId83" Type="http://schemas.openxmlformats.org/officeDocument/2006/relationships/hyperlink" Target="consultantplus://offline/ref=A682E10DFA928B6EEA87903D3959FC08908B1CBEB8FE3926C2CE1CE070322DFCF61BC77242A71CA89C873F7E40MBY6L" TargetMode="External"/><Relationship Id="rId84" Type="http://schemas.openxmlformats.org/officeDocument/2006/relationships/hyperlink" Target="consultantplus://offline/ref=A682E10DFA928B6EEA87903D3959FC08908A1FBBB2FD3926C2CE1CE070322DFCE41B9F7E42A502AC9592692F06E1C2DEF6AAE3E74B9CDBEDM5YFL" TargetMode="External"/><Relationship Id="rId85" Type="http://schemas.openxmlformats.org/officeDocument/2006/relationships/hyperlink" Target="consultantplus://offline/ref=A682E10DFA928B6EEA87903D3959FC08978317BFBDFA3926C2CE1CE070322DFCE41B9F7E42A502AA9E92692F06E1C2DEF6AAE3E74B9CDBEDM5YFL" TargetMode="External"/><Relationship Id="rId86" Type="http://schemas.openxmlformats.org/officeDocument/2006/relationships/hyperlink" Target="consultantplus://offline/ref=A682E10DFA928B6EEA87903D3959FC08978317BFBDFA3926C2CE1CE070322DFCE41B9F7E42A502AA9B92692F06E1C2DEF6AAE3E74B9CDBEDM5YFL" TargetMode="External"/><Relationship Id="rId87" Type="http://schemas.openxmlformats.org/officeDocument/2006/relationships/hyperlink" Target="consultantplus://offline/ref=A682E10DFA928B6EEA87903D3959FC08978317BFBDFA3926C2CE1CE070322DFCE41B9F7E42A502AB9592692F06E1C2DEF6AAE3E74B9CDBEDM5YFL" TargetMode="External"/><Relationship Id="rId88" Type="http://schemas.openxmlformats.org/officeDocument/2006/relationships/hyperlink" Target="consultantplus://offline/ref=A682E10DFA928B6EEA87903D3959FC08978317BFBDFA3926C2CE1CE070322DFCE41B9F7E42A502AA9892692F06E1C2DEF6AAE3E74B9CDBEDM5YFL" TargetMode="External"/><Relationship Id="rId89" Type="http://schemas.openxmlformats.org/officeDocument/2006/relationships/hyperlink" Target="consultantplus://offline/ref=A682E10DFA928B6EEA87903D3959FC0890881CBBB2F53926C2CE1CE070322DFCE41B9F7E42A503A89F92692F06E1C2DEF6AAE3E74B9CDBEDM5YFL" TargetMode="External"/><Relationship Id="rId90" Type="http://schemas.openxmlformats.org/officeDocument/2006/relationships/hyperlink" Target="consultantplus://offline/ref=A682E10DFA928B6EEA87903D3959FC08978317BFBDFA3926C2CE1CE070322DFCE41B9F7E42A502AA9992692F06E1C2DEF6AAE3E74B9CDBEDM5YFL" TargetMode="External"/><Relationship Id="rId91" Type="http://schemas.openxmlformats.org/officeDocument/2006/relationships/hyperlink" Target="consultantplus://offline/ref=A682E10DFA928B6EEA87903D3959FC08908817BDBDF83926C2CE1CE070322DFCE41B9F7646A104A2C9C8792B4FB4CDC0F5B5FCE4559CMDY9L" TargetMode="External"/><Relationship Id="rId92" Type="http://schemas.openxmlformats.org/officeDocument/2006/relationships/hyperlink" Target="consultantplus://offline/ref=A682E10DFA928B6EEA87903D3959FC08908817BDBDF83926C2CE1CE070322DFCE41B9F7B4AA202A2C9C8792B4FB4CDC0F5B5FCE4559CMDY9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Готовое решение: Каков порядок сдачи отчетности в органы Росалкогольрегулирования(КонсультантПлюс, 2022)</dc:title>
  <dc:subject/>
  <dc:creator/>
  <dc:description/>
  <dc:language>en-US</dc:language>
  <cp:lastModifiedBy>Владлен Ниденс</cp:lastModifiedBy>
  <cp:revision>1</cp:revision>
  <dcterms:modified xsi:type="dcterms:W3CDTF">2022-11-21T07:26:33Z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cation">
    <vt:lpwstr>Р7-Офис/5.5.4.20</vt:lpwstr>
  </property>
</Properties>
</file>