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/>
        <w:jc w:val="left"/>
      </w:pPr>
      <w:r/>
      <w:r/>
    </w:p>
    <w:p>
      <w:pPr>
        <w:ind w:left="4536"/>
        <w:jc w:val="center"/>
        <w:rPr>
          <w:sz w:val="28"/>
          <w:szCs w:val="28"/>
        </w:rPr>
      </w:pPr>
      <w:r/>
      <w:bookmarkStart w:id="0" w:name="sub_100"/>
      <w:r>
        <w:rPr>
          <w:sz w:val="28"/>
          <w:szCs w:val="28"/>
        </w:rPr>
        <w:t xml:space="preserve">Утверждена </w:t>
      </w:r>
      <w:r/>
    </w:p>
    <w:p>
      <w:pPr>
        <w:ind w:left="4536"/>
        <w:jc w:val="center"/>
      </w:pPr>
      <w:r>
        <w:rPr>
          <w:sz w:val="28"/>
          <w:szCs w:val="28"/>
        </w:rPr>
        <w:t xml:space="preserve">приказом Министерства сельского хозяйства Пензенской области</w:t>
      </w:r>
      <w:r/>
    </w:p>
    <w:p>
      <w:pPr>
        <w:ind w:left="4536"/>
        <w:jc w:val="center"/>
      </w:pPr>
      <w:r>
        <w:rPr>
          <w:sz w:val="28"/>
          <w:szCs w:val="28"/>
        </w:rPr>
        <w:t xml:space="preserve">от __________ № __________</w:t>
      </w:r>
      <w:r/>
    </w:p>
    <w:p>
      <w:pPr>
        <w:pStyle w:val="487"/>
        <w:jc w:val="right"/>
        <w:rPr>
          <w:highlight w:val="white"/>
        </w:rPr>
      </w:pPr>
      <w:r>
        <w:rPr>
          <w:b w:val="false"/>
          <w:sz w:val="28"/>
          <w:szCs w:val="28"/>
          <w:highlight w:val="white"/>
        </w:rPr>
        <w:t xml:space="preserve">Форма</w:t>
      </w:r>
      <w:r/>
    </w:p>
    <w:p>
      <w:pPr>
        <w:ind w:firstLine="708"/>
        <w:jc w:val="center"/>
        <w:rPr>
          <w:highlight w:val="white"/>
        </w:rPr>
      </w:pPr>
      <w:r>
        <w:rPr>
          <w:b/>
          <w:sz w:val="28"/>
          <w:highlight w:val="white"/>
        </w:rPr>
        <w:t xml:space="preserve">Проверочный лист (список контрольных вопросов, ответы на которые свидетельствуют о соблюдении или несоблюдении контролируемым лицом обязательных требований), </w:t>
      </w:r>
      <w:r/>
    </w:p>
    <w:p>
      <w:pPr>
        <w:jc w:val="center"/>
      </w:pPr>
      <w:r>
        <w:rPr>
          <w:strike/>
          <w:lang w:bidi="ar-SA"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5252721</wp:posOffset>
                </wp:positionH>
                <wp:positionV relativeFrom="paragraph">
                  <wp:posOffset>762000</wp:posOffset>
                </wp:positionV>
                <wp:extent cx="1104900" cy="714375"/>
                <wp:effectExtent l="0" t="0" r="19050" b="28575"/>
                <wp:wrapNone/>
                <wp:docPr id="1" name="Rectangle 2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/>
                            <w:r/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highlight w:val="white"/>
                                <w:lang w:val="en-US"/>
                              </w:rPr>
                              <w:t xml:space="preserve">QR</w:t>
                            </w:r>
                            <w:r>
                              <w:rPr>
                                <w:highlight w:val="white"/>
                              </w:rPr>
                              <w:t xml:space="preserve">-</w:t>
                            </w:r>
                            <w:r>
                              <w:t xml:space="preserve">код</w:t>
                            </w:r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0" o:spid="_x0000_s0" o:spt="1" style="position:absolute;mso-wrap-distance-left:9.0pt;mso-wrap-distance-top:0.0pt;mso-wrap-distance-right:9.0pt;mso-wrap-distance-bottom:0.0pt;z-index:251658240;o:allowoverlap:true;o:allowincell:true;mso-position-horizontal-relative:text;margin-left:413.6pt;mso-position-horizontal:absolute;mso-position-vertical-relative:text;margin-top:60.0pt;mso-position-vertical:absolute;width:87.0pt;height:56.3pt;v-text-anchor:top;" coordsize="100000,100000" path="" fillcolor="#FFFFFF" strokecolor="#000000" strokeweight="0.75pt">
                <v:path textboxrect="0,0,0,0"/>
                <v:textbox>
                  <w:txbxContent>
                    <w:p>
                      <w:pPr>
                        <w:jc w:val="center"/>
                      </w:pPr>
                      <w:r/>
                      <w:r/>
                    </w:p>
                    <w:p>
                      <w:pPr>
                        <w:jc w:val="center"/>
                      </w:pPr>
                      <w:r>
                        <w:rPr>
                          <w:highlight w:val="white"/>
                          <w:lang w:val="en-US"/>
                        </w:rPr>
                        <w:t xml:space="preserve">QR</w:t>
                      </w:r>
                      <w:r>
                        <w:rPr>
                          <w:highlight w:val="white"/>
                        </w:rPr>
                        <w:t xml:space="preserve">-</w:t>
                      </w:r>
                      <w:r>
                        <w:t xml:space="preserve">код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highlight w:val="white"/>
        </w:rPr>
        <w:t xml:space="preserve">используемый при осуществлении регионального государственного контроля (надзора) в области </w:t>
      </w:r>
      <w:r>
        <w:rPr>
          <w:b/>
          <w:sz w:val="28"/>
          <w:highlight w:val="white"/>
        </w:rPr>
        <w:t xml:space="preserve">продажи безалкогольных тонизирующих напитков (в том числе энергетических) на территории Пензенской области.</w:t>
      </w:r>
      <w:r>
        <w:rPr>
          <w:b/>
          <w:sz w:val="28"/>
          <w:highlight w:val="white"/>
          <w:vertAlign w:val="superscript"/>
        </w:rPr>
        <w:t xml:space="preserve">1</w:t>
      </w:r>
      <w:r>
        <w:rPr>
          <w:sz w:val="28"/>
          <w:szCs w:val="28"/>
        </w:rPr>
        <w:br/>
      </w:r>
      <w:bookmarkEnd w:id="0"/>
      <w:r/>
      <w:r/>
    </w:p>
    <w:p>
      <w:r/>
      <w:r/>
    </w:p>
    <w:p>
      <w:pPr>
        <w:jc w:val="right"/>
      </w:pPr>
      <w:r/>
      <w:r/>
    </w:p>
    <w:p>
      <w:r/>
      <w:r/>
    </w:p>
    <w:p>
      <w:pPr>
        <w:rPr>
          <w:highlight w:val="white"/>
        </w:rPr>
      </w:pPr>
      <w:r>
        <w:rPr>
          <w:highlight w:val="white"/>
        </w:rPr>
      </w:r>
      <w:r/>
    </w:p>
    <w:p>
      <w:pPr>
        <w:numPr>
          <w:ilvl w:val="0"/>
          <w:numId w:val="48"/>
        </w:numPr>
        <w:ind w:left="0" w:firstLine="720"/>
        <w:jc w:val="both"/>
        <w:rPr>
          <w:sz w:val="24"/>
          <w:szCs w:val="24"/>
          <w:highlight w:val="white"/>
        </w:rPr>
      </w:pPr>
      <w:r/>
      <w:bookmarkStart w:id="1" w:name="sub_101"/>
      <w:r>
        <w:rPr>
          <w:sz w:val="24"/>
          <w:szCs w:val="24"/>
          <w:highlight w:val="white"/>
        </w:rPr>
        <w:t xml:space="preserve">Наименование вида контроля, включенного в единый реестр видов регионального государственного контроля (надзора): регионального госу</w:t>
      </w:r>
      <w:r>
        <w:rPr>
          <w:sz w:val="24"/>
          <w:szCs w:val="24"/>
          <w:highlight w:val="white"/>
        </w:rPr>
        <w:t xml:space="preserve">дарственного контроля (надзора) в области продажи безалкогольных тонизирующих напитков (в том числе энергетических) на территории Пензенской области.</w:t>
      </w:r>
      <w:r/>
    </w:p>
    <w:p>
      <w:pPr>
        <w:numPr>
          <w:ilvl w:val="0"/>
          <w:numId w:val="48"/>
        </w:numPr>
        <w:ind w:left="0" w:firstLine="72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Наименование контрольного (надзорного) органа: </w:t>
      </w:r>
      <w:bookmarkEnd w:id="1"/>
      <w:r>
        <w:rPr>
          <w:sz w:val="24"/>
          <w:szCs w:val="24"/>
          <w:highlight w:val="white"/>
        </w:rPr>
        <w:t xml:space="preserve">Министерство сельского хозяйства Пензенской области (далее </w:t>
      </w:r>
      <w:r>
        <w:rPr>
          <w:sz w:val="24"/>
          <w:szCs w:val="24"/>
          <w:highlight w:val="white"/>
        </w:rPr>
        <w:t xml:space="preserve">- Министерство).</w:t>
      </w:r>
      <w:r/>
    </w:p>
    <w:p>
      <w:pPr>
        <w:numPr>
          <w:ilvl w:val="0"/>
          <w:numId w:val="48"/>
        </w:numPr>
        <w:ind w:left="0" w:firstLine="72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Реквизиты нормативного правового акта, утверждающего форму проверочного листа:  приказ Министерства  сельского  хозяйства  Пензенской  области </w:t>
      </w:r>
      <w:r>
        <w:rPr>
          <w:sz w:val="24"/>
          <w:szCs w:val="24"/>
          <w:highlight w:val="white"/>
        </w:rPr>
        <w:t xml:space="preserve">от</w:t>
      </w:r>
      <w:r>
        <w:rPr>
          <w:sz w:val="24"/>
          <w:szCs w:val="24"/>
          <w:highlight w:val="white"/>
        </w:rPr>
        <w:t xml:space="preserve"> ____________ № ________.</w:t>
      </w:r>
      <w:r/>
    </w:p>
    <w:p>
      <w:pPr>
        <w:numPr>
          <w:ilvl w:val="0"/>
          <w:numId w:val="48"/>
        </w:numPr>
        <w:ind w:left="0" w:firstLine="720"/>
        <w:jc w:val="both"/>
        <w:rPr>
          <w:sz w:val="24"/>
          <w:szCs w:val="24"/>
          <w:highlight w:val="white"/>
        </w:rPr>
      </w:pPr>
      <w:r/>
      <w:bookmarkStart w:id="2" w:name="sub_102"/>
      <w:r>
        <w:rPr>
          <w:sz w:val="24"/>
          <w:szCs w:val="24"/>
          <w:highlight w:val="white"/>
        </w:rPr>
        <w:t xml:space="preserve">Вид контрольного (надзорного) мероприятия: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numPr>
          <w:ilvl w:val="0"/>
          <w:numId w:val="48"/>
        </w:numPr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Дата заполнения проверочного листа: ___________________________________</w:t>
      </w:r>
      <w:r/>
    </w:p>
    <w:p>
      <w:pPr>
        <w:numPr>
          <w:ilvl w:val="0"/>
          <w:numId w:val="48"/>
        </w:numPr>
        <w:ind w:left="0" w:firstLine="72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 Объект государственного контроля (надзора), муниципального контроля, в отношении которого проводится контро</w:t>
      </w:r>
      <w:r>
        <w:rPr>
          <w:sz w:val="24"/>
          <w:szCs w:val="24"/>
          <w:highlight w:val="white"/>
        </w:rPr>
        <w:t xml:space="preserve">льное (надзорное) мероприятие:</w:t>
      </w:r>
      <w:r/>
    </w:p>
    <w:p>
      <w:pPr>
        <w:ind w:left="1080"/>
        <w:rPr>
          <w:highlight w:val="white"/>
        </w:rPr>
      </w:pPr>
      <w:r>
        <w:rPr>
          <w:highlight w:val="white"/>
        </w:rPr>
        <w:t xml:space="preserve">_________________________________________________________________________</w:t>
      </w:r>
      <w:r/>
    </w:p>
    <w:p>
      <w:pPr>
        <w:ind w:firstLine="1080"/>
        <w:jc w:val="center"/>
        <w:rPr>
          <w:highlight w:val="white"/>
        </w:rPr>
      </w:pPr>
      <w:r>
        <w:rPr>
          <w:sz w:val="16"/>
          <w:highlight w:val="white"/>
        </w:rPr>
        <w:t xml:space="preserve">(фамилия, имя и отчество (при наличии) индивидуального предпринимателя, его идентификационный номер налогоплательщика и (или) основной государственный </w:t>
      </w:r>
      <w:r>
        <w:rPr>
          <w:sz w:val="16"/>
          <w:highlight w:val="white"/>
        </w:rPr>
        <w:t xml:space="preserve">регистрационный номер индивидуального предпринимателя, адрес регистрации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</w:t>
      </w:r>
      <w:r>
        <w:rPr>
          <w:sz w:val="16"/>
          <w:highlight w:val="white"/>
        </w:rPr>
        <w:t xml:space="preserve">го лица (его филиалов, представительств, обособленных структурных подразделений), являющихся контролируемыми лицами)</w:t>
      </w:r>
      <w:r/>
    </w:p>
    <w:p>
      <w:pPr>
        <w:ind w:left="1080"/>
        <w:rPr>
          <w:highlight w:val="white"/>
        </w:rPr>
      </w:pPr>
      <w:r>
        <w:rPr>
          <w:highlight w:val="white"/>
        </w:rPr>
      </w:r>
      <w:bookmarkEnd w:id="2"/>
      <w:r/>
      <w:r/>
    </w:p>
    <w:p>
      <w:pPr>
        <w:ind w:left="1080"/>
      </w:pPr>
      <w:r/>
      <w:r/>
    </w:p>
    <w:p>
      <w:pPr>
        <w:numPr>
          <w:ilvl w:val="0"/>
          <w:numId w:val="48"/>
        </w:numP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 (места) проведения контрольного (надзорного) мероприятия с заполнением проверочного листа: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</w:t>
      </w:r>
      <w:r>
        <w:rPr>
          <w:sz w:val="24"/>
          <w:szCs w:val="24"/>
        </w:rPr>
        <w:t xml:space="preserve">_____________________________________</w:t>
      </w:r>
      <w:r/>
    </w:p>
    <w:p>
      <w:pPr>
        <w:numPr>
          <w:ilvl w:val="0"/>
          <w:numId w:val="48"/>
        </w:numP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Реквизиты решения Министерства о проведении контрольного (надзорного) мероприятия, подписанного уполномоченным должностным лицом Министерства: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приказ Министерства  сельского  хозяйства  Пензенской  области </w:t>
      </w:r>
      <w:r>
        <w:rPr>
          <w:sz w:val="24"/>
          <w:szCs w:val="24"/>
        </w:rPr>
        <w:t xml:space="preserve">от</w:t>
      </w:r>
      <w:r>
        <w:rPr>
          <w:sz w:val="24"/>
          <w:szCs w:val="24"/>
        </w:rPr>
        <w:t xml:space="preserve"> _________</w:t>
      </w:r>
      <w:r>
        <w:rPr>
          <w:sz w:val="24"/>
          <w:szCs w:val="24"/>
        </w:rPr>
        <w:t xml:space="preserve">___ № ________.</w:t>
      </w:r>
      <w:r/>
    </w:p>
    <w:p>
      <w:pPr>
        <w:numPr>
          <w:ilvl w:val="0"/>
          <w:numId w:val="48"/>
        </w:numP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Учетный номер контрольного (надзорного) мероприятия:</w:t>
      </w:r>
      <w:r/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</w:t>
      </w:r>
      <w:r/>
    </w:p>
    <w:p>
      <w:pPr>
        <w:jc w:val="both"/>
        <w:rPr>
          <w:sz w:val="24"/>
          <w:szCs w:val="24"/>
        </w:rPr>
      </w:pPr>
      <w:r/>
      <w:bookmarkStart w:id="3" w:name="_GoBack"/>
      <w:r/>
      <w:bookmarkEnd w:id="3"/>
      <w:r/>
      <w:r/>
    </w:p>
    <w:p>
      <w:pPr>
        <w:numPr>
          <w:ilvl w:val="0"/>
          <w:numId w:val="48"/>
        </w:numPr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Должность, ФИО лица, проводящего контрольное (надзорное) мероприятие и заполняющего проверочный лист:</w:t>
      </w:r>
      <w:r/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 xml:space="preserve">___</w:t>
      </w:r>
      <w:r>
        <w:rPr>
          <w:sz w:val="24"/>
          <w:szCs w:val="24"/>
          <w:highlight w:val="white"/>
        </w:rPr>
        <w:t xml:space="preserve">_______________________________________________________________________</w:t>
      </w:r>
      <w:r/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071"/>
      </w:tblGrid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ind w:firstLine="708"/>
              <w:jc w:val="both"/>
              <w:rPr>
                <w:sz w:val="24"/>
                <w:szCs w:val="24"/>
              </w:rPr>
              <w:outlineLvl w:val="1"/>
            </w:pPr>
            <w:r>
              <w:rPr>
                <w:sz w:val="24"/>
                <w:szCs w:val="24"/>
              </w:rPr>
              <w:t xml:space="preserve">11.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</w:t>
            </w:r>
            <w:r>
              <w:rPr>
                <w:sz w:val="24"/>
                <w:szCs w:val="24"/>
              </w:rPr>
              <w:t xml:space="preserve">аний.</w:t>
            </w:r>
            <w:r/>
          </w:p>
        </w:tc>
      </w:tr>
    </w:tbl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tbl>
      <w:tblPr>
        <w:tblW w:w="0" w:type="auto"/>
        <w:tblInd w:w="-364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52"/>
        <w:gridCol w:w="3798"/>
        <w:gridCol w:w="1814"/>
        <w:gridCol w:w="544"/>
        <w:gridCol w:w="709"/>
        <w:gridCol w:w="850"/>
        <w:gridCol w:w="1498"/>
      </w:tblGrid>
      <w:tr>
        <w:trPr/>
        <w:tc>
          <w:tcPr>
            <w:tcW w:w="852" w:type="dxa"/>
            <w:vMerge w:val="restart"/>
            <w:textDirection w:val="lrTb"/>
            <w:noWrap w:val="false"/>
          </w:tcPr>
          <w:p>
            <w:pPr>
              <w:ind w:left="-377" w:firstLine="3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/>
          </w:p>
          <w:p>
            <w:pPr>
              <w:ind w:left="-377" w:firstLine="3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  <w:t xml:space="preserve">/п</w:t>
            </w:r>
            <w:r/>
          </w:p>
        </w:tc>
        <w:tc>
          <w:tcPr>
            <w:tcW w:w="3798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Контрольные вопросы, отражающие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      </w:r>
            <w:r/>
          </w:p>
        </w:tc>
        <w:tc>
          <w:tcPr>
            <w:tcW w:w="181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нормативных правовых актов с указанием структурных единиц этих актов, соотнесенных со списком контрольных вопросов</w:t>
            </w:r>
            <w:r/>
          </w:p>
        </w:tc>
        <w:tc>
          <w:tcPr>
            <w:gridSpan w:val="3"/>
            <w:tcW w:w="2103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Ответы на вопросы</w:t>
            </w:r>
            <w:r/>
          </w:p>
        </w:tc>
        <w:tc>
          <w:tcPr>
            <w:tcW w:w="149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white"/>
                <w:vertAlign w:val="superscript"/>
              </w:rPr>
            </w:pPr>
            <w:r>
              <w:rPr>
                <w:sz w:val="24"/>
                <w:szCs w:val="24"/>
                <w:highlight w:val="white"/>
              </w:rPr>
              <w:t xml:space="preserve">Примечание</w:t>
            </w:r>
            <w:r>
              <w:rPr>
                <w:sz w:val="24"/>
                <w:szCs w:val="24"/>
                <w:highlight w:val="white"/>
                <w:vertAlign w:val="superscript"/>
              </w:rPr>
              <w:t xml:space="preserve">5</w:t>
            </w:r>
            <w:r/>
          </w:p>
        </w:tc>
      </w:tr>
      <w:tr>
        <w:trPr>
          <w:cantSplit/>
          <w:trHeight w:val="1134"/>
        </w:trPr>
        <w:tc>
          <w:tcPr>
            <w:tcW w:w="852" w:type="dxa"/>
            <w:vMerge w:val="continue"/>
            <w:textDirection w:val="lrTb"/>
            <w:noWrap w:val="false"/>
          </w:tcPr>
          <w:p>
            <w:pPr>
              <w:pStyle w:val="6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3798" w:type="dxa"/>
            <w:vMerge w:val="continue"/>
            <w:textDirection w:val="lrTb"/>
            <w:noWrap w:val="false"/>
          </w:tcPr>
          <w:p>
            <w:pPr>
              <w:pStyle w:val="6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814" w:type="dxa"/>
            <w:vMerge w:val="continue"/>
            <w:textDirection w:val="lrTb"/>
            <w:noWrap w:val="false"/>
          </w:tcPr>
          <w:p>
            <w:pPr>
              <w:pStyle w:val="6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544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4"/>
                <w:szCs w:val="24"/>
                <w:highlight w:val="white"/>
                <w:vertAlign w:val="superscript"/>
              </w:rPr>
            </w:pPr>
            <w:r>
              <w:rPr>
                <w:sz w:val="24"/>
                <w:szCs w:val="24"/>
                <w:highlight w:val="white"/>
              </w:rPr>
              <w:t xml:space="preserve">Да</w:t>
            </w:r>
            <w:r>
              <w:rPr>
                <w:sz w:val="24"/>
                <w:szCs w:val="24"/>
                <w:highlight w:val="white"/>
                <w:vertAlign w:val="superscript"/>
              </w:rPr>
              <w:t xml:space="preserve">2</w:t>
            </w:r>
            <w:r/>
          </w:p>
        </w:tc>
        <w:tc>
          <w:tcPr>
            <w:tcW w:w="709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Нет</w:t>
            </w:r>
            <w:r>
              <w:rPr>
                <w:sz w:val="24"/>
                <w:szCs w:val="24"/>
                <w:highlight w:val="white"/>
                <w:vertAlign w:val="superscript"/>
              </w:rPr>
              <w:t xml:space="preserve">3</w:t>
            </w:r>
            <w:r/>
          </w:p>
        </w:tc>
        <w:tc>
          <w:tcPr>
            <w:tcW w:w="850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4"/>
                <w:szCs w:val="24"/>
                <w:highlight w:val="white"/>
                <w:vertAlign w:val="superscript"/>
              </w:rPr>
            </w:pPr>
            <w:r>
              <w:rPr>
                <w:sz w:val="24"/>
                <w:szCs w:val="24"/>
                <w:highlight w:val="white"/>
              </w:rPr>
              <w:t xml:space="preserve">Неприменимо</w:t>
            </w:r>
            <w:r>
              <w:rPr>
                <w:sz w:val="24"/>
                <w:szCs w:val="24"/>
                <w:highlight w:val="white"/>
                <w:vertAlign w:val="superscript"/>
              </w:rPr>
              <w:t xml:space="preserve">4</w:t>
            </w:r>
            <w:r/>
          </w:p>
        </w:tc>
        <w:tc>
          <w:tcPr>
            <w:tcW w:w="1498" w:type="dxa"/>
            <w:vMerge w:val="continue"/>
            <w:textDirection w:val="lrTb"/>
            <w:noWrap w:val="false"/>
          </w:tcPr>
          <w:p>
            <w:pPr>
              <w:pStyle w:val="6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W w:w="852" w:type="dxa"/>
            <w:textDirection w:val="lrTb"/>
            <w:noWrap w:val="false"/>
          </w:tcPr>
          <w:p>
            <w:pPr>
              <w:ind w:firstLine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/>
          </w:p>
        </w:tc>
        <w:tc>
          <w:tcPr>
            <w:tcW w:w="3798" w:type="dxa"/>
            <w:textDirection w:val="lrTb"/>
            <w:noWrap w:val="false"/>
          </w:tcPr>
          <w:p>
            <w:pPr>
              <w:jc w:val="center"/>
              <w:rPr>
                <w:strike/>
                <w:sz w:val="24"/>
                <w:szCs w:val="24"/>
                <w:highlight w:val="white"/>
              </w:rPr>
            </w:pPr>
            <w:r>
              <w:rPr>
                <w:strike/>
                <w:sz w:val="24"/>
                <w:szCs w:val="24"/>
                <w:highlight w:val="white"/>
              </w:rPr>
            </w:r>
            <w:r/>
          </w:p>
          <w:p>
            <w:pPr>
              <w:jc w:val="both"/>
              <w:rPr>
                <w:sz w:val="24"/>
                <w:szCs w:val="24"/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4"/>
                <w:szCs w:val="24"/>
                <w:highlight w:val="white"/>
              </w:rPr>
              <w:t xml:space="preserve">Соблюдается ли </w:t>
            </w:r>
            <w:r>
              <w:rPr>
                <w:sz w:val="24"/>
                <w:szCs w:val="24"/>
                <w:highlight w:val="white"/>
              </w:rPr>
              <w:t xml:space="preserve"> запрет продажи безалкогольных тонизирующих напитков (в том числе энергетических) несовершеннолетним?</w:t>
            </w:r>
            <w:r/>
          </w:p>
          <w:p>
            <w:pPr>
              <w:jc w:val="center"/>
              <w:rPr>
                <w:strike/>
                <w:sz w:val="24"/>
                <w:szCs w:val="24"/>
                <w:highlight w:val="white"/>
              </w:rPr>
            </w:pPr>
            <w:r>
              <w:rPr>
                <w:strike/>
                <w:sz w:val="24"/>
                <w:szCs w:val="24"/>
                <w:highlight w:val="white"/>
              </w:rPr>
            </w:r>
            <w:r/>
          </w:p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/>
          </w:p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/>
          </w:p>
        </w:tc>
        <w:tc>
          <w:tcPr>
            <w:tcW w:w="181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/>
            <w:hyperlink r:id="rId10" w:tooltip="Федеральный закон от 08.08.2024 N 304-ФЗ (ред. от 29.12.2025) &quot;О запрете продажи безалкогольных тонизирующих напитков (в том числе энергетических) несовершеннолетним и о внесении изменения в статью 44 Федерального закона &quot;Об общих принципах организации публичн" w:history="1">
              <w:r>
                <w:rPr>
                  <w:sz w:val="24"/>
                  <w:szCs w:val="24"/>
                  <w:highlight w:val="white"/>
                </w:rPr>
                <w:t xml:space="preserve">ст. 2</w:t>
              </w:r>
            </w:hyperlink>
            <w:r/>
            <w:r/>
          </w:p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Федерального закона</w:t>
            </w:r>
            <w:r/>
          </w:p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08.0</w:t>
            </w:r>
            <w:r>
              <w:rPr>
                <w:sz w:val="24"/>
                <w:szCs w:val="24"/>
                <w:highlight w:val="white"/>
              </w:rPr>
              <w:t xml:space="preserve">8.2024 № 304-ФЗ «О запрете продажи безалкогольных тонизирующих напитков (в том числе энергетических) несовершеннолетним и о внесении изменения в статью 44 Федерального закона «Об общих принципах организации публичной власти в субъектах Российской Федерации</w:t>
            </w:r>
            <w:r>
              <w:rPr>
                <w:sz w:val="24"/>
                <w:szCs w:val="24"/>
                <w:highlight w:val="white"/>
              </w:rPr>
              <w:t xml:space="preserve">» (далее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- Федеральный закон</w:t>
            </w:r>
            <w:r/>
          </w:p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08.08.2024 № 304-ФЗ</w:t>
            </w:r>
            <w:r>
              <w:rPr>
                <w:strike/>
                <w:sz w:val="24"/>
                <w:szCs w:val="24"/>
                <w:highlight w:val="white"/>
              </w:rPr>
              <w:t xml:space="preserve"> </w:t>
            </w:r>
            <w:r/>
          </w:p>
        </w:tc>
        <w:tc>
          <w:tcPr>
            <w:tcW w:w="544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498" w:type="dxa"/>
            <w:textDirection w:val="lrTb"/>
            <w:noWrap w:val="false"/>
          </w:tcPr>
          <w:p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W w:w="852" w:type="dxa"/>
            <w:textDirection w:val="lrTb"/>
            <w:noWrap w:val="false"/>
          </w:tcPr>
          <w:p>
            <w:pPr>
              <w:ind w:firstLine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/>
          </w:p>
        </w:tc>
        <w:tc>
          <w:tcPr>
            <w:tcW w:w="379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Соблюдается запрет продажи безалкогольных тонизирующих напитков (в том числе </w:t>
            </w:r>
            <w:r>
              <w:rPr>
                <w:sz w:val="24"/>
                <w:szCs w:val="24"/>
              </w:rPr>
              <w:t xml:space="preserve">энергетических) в зданиях, строениях, сооружениях, помещениях, используемых для непосредственного осуществления образовательной деятельности?</w:t>
            </w:r>
            <w:r/>
          </w:p>
        </w:tc>
        <w:tc>
          <w:tcPr>
            <w:tcW w:w="181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ч.1 ст. 4 Федерального закона</w:t>
            </w:r>
            <w:r/>
          </w:p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08.08.2024 № 304-ФЗ, </w:t>
            </w:r>
            <w:hyperlink r:id="rId11" w:tooltip="Областной закон Ленинградской области от 12.05.2015 N 45-оз (ред. от 15.11.2024) &quot;О запрете продажи безалкогольных тонизирующих напитков (в том числе энергетических) в отдельных местах на территории Ленинградской области и о внесении изменений в областной зако" w:history="1">
              <w:r>
                <w:rPr>
                  <w:sz w:val="24"/>
                  <w:szCs w:val="24"/>
                  <w:highlight w:val="white"/>
                </w:rPr>
                <w:t xml:space="preserve">ст. 3</w:t>
              </w:r>
            </w:hyperlink>
            <w:r>
              <w:rPr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Закона Пензенской области от 22.11.2024 № 4452-ЗПО «Об установлении запретов и ограничений торговли безалкогольными тонизирующими напитками (в том числе энергетическими) на территории Пензенс</w:t>
            </w:r>
            <w:r>
              <w:rPr>
                <w:sz w:val="24"/>
                <w:szCs w:val="24"/>
                <w:highlight w:val="white"/>
              </w:rPr>
              <w:t xml:space="preserve">кой области» (далее -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/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№ 4452-ЗПО)</w:t>
            </w:r>
            <w:r>
              <w:rPr>
                <w:sz w:val="24"/>
                <w:szCs w:val="24"/>
              </w:rPr>
              <w:t xml:space="preserve"> </w:t>
            </w:r>
            <w:r/>
          </w:p>
        </w:tc>
        <w:tc>
          <w:tcPr>
            <w:tcW w:w="544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498" w:type="dxa"/>
            <w:textDirection w:val="lrTb"/>
            <w:noWrap w:val="false"/>
          </w:tcPr>
          <w:p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W w:w="852" w:type="dxa"/>
            <w:textDirection w:val="lrTb"/>
            <w:noWrap w:val="false"/>
          </w:tcPr>
          <w:p>
            <w:pPr>
              <w:ind w:firstLine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/>
          </w:p>
        </w:tc>
        <w:tc>
          <w:tcPr>
            <w:tcW w:w="379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Соблюдается запрет продажи безалкогольных тонизирующих напитков (в том числе энергетических) в зданиях, строениях, сооружениях, помещениях, используемых для непосредственного? осуществления медицинской деятельности</w:t>
            </w:r>
            <w:r/>
          </w:p>
        </w:tc>
        <w:tc>
          <w:tcPr>
            <w:tcW w:w="181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ч.1 ст. 4 Федерального закона</w:t>
            </w:r>
            <w:r/>
          </w:p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08.08.2024 № 304-ФЗ, ч.1 </w:t>
            </w:r>
            <w:hyperlink r:id="rId12" w:tooltip="Областной закон Ленинградской области от 12.05.2015 N 45-оз (ред. от 15.11.2024) &quot;О запрете продажи безалкогольных тонизирующих напитков (в том числе энергетических) в отдельных местах на территории Ленинградской области и о внесении изменений в областной зако" w:history="1">
              <w:r>
                <w:rPr>
                  <w:sz w:val="24"/>
                  <w:szCs w:val="24"/>
                  <w:highlight w:val="white"/>
                </w:rPr>
                <w:t xml:space="preserve">ст. 2</w:t>
              </w:r>
            </w:hyperlink>
            <w:r/>
            <w:r/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№4452-ЗПО</w:t>
            </w:r>
            <w:r>
              <w:rPr>
                <w:sz w:val="24"/>
                <w:szCs w:val="24"/>
              </w:rPr>
              <w:t xml:space="preserve"> </w:t>
            </w:r>
            <w:r/>
          </w:p>
        </w:tc>
        <w:tc>
          <w:tcPr>
            <w:tcW w:w="544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498" w:type="dxa"/>
            <w:textDirection w:val="lrTb"/>
            <w:noWrap w:val="false"/>
          </w:tcPr>
          <w:p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W w:w="852" w:type="dxa"/>
            <w:textDirection w:val="lrTb"/>
            <w:noWrap w:val="false"/>
          </w:tcPr>
          <w:p>
            <w:pPr>
              <w:ind w:firstLine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/>
          </w:p>
        </w:tc>
        <w:tc>
          <w:tcPr>
            <w:tcW w:w="379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Соблюдается запрет продажи безалкогольных тонизирующих напитков (в том числе энергетических) в зданиях, строениях, сооружениях, помещениях, используемых для непосредственного осуществления деятельности в области культуры?</w:t>
            </w:r>
            <w:r/>
          </w:p>
        </w:tc>
        <w:tc>
          <w:tcPr>
            <w:tcW w:w="181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ч.1 ст. 4 Федерального закона</w:t>
            </w:r>
            <w:r/>
          </w:p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08.08.2024 № 304-ФЗ, ч.1 </w:t>
            </w:r>
            <w:hyperlink r:id="rId13" w:tooltip="Областной закон Ленинградской области от 12.05.2015 N 45-оз (ред. от 15.11.2024) &quot;О запрете продажи безалкогольных тонизирующих напитков (в том числе энергетических) в отдельных местах на территории Ленинградской области и о внесении изменений в областной зако" w:history="1">
              <w:r>
                <w:rPr>
                  <w:sz w:val="24"/>
                  <w:szCs w:val="24"/>
                  <w:highlight w:val="white"/>
                </w:rPr>
                <w:t xml:space="preserve">ст. 2</w:t>
              </w:r>
            </w:hyperlink>
            <w:r/>
            <w:r/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№4452-ЗПО</w:t>
            </w:r>
            <w:r>
              <w:rPr>
                <w:sz w:val="24"/>
                <w:szCs w:val="24"/>
              </w:rPr>
              <w:t xml:space="preserve"> </w:t>
            </w:r>
            <w:r/>
          </w:p>
        </w:tc>
        <w:tc>
          <w:tcPr>
            <w:tcW w:w="544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498" w:type="dxa"/>
            <w:textDirection w:val="lrTb"/>
            <w:noWrap w:val="false"/>
          </w:tcPr>
          <w:p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W w:w="852" w:type="dxa"/>
            <w:textDirection w:val="lrTb"/>
            <w:noWrap w:val="false"/>
          </w:tcPr>
          <w:p>
            <w:pPr>
              <w:ind w:firstLine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/>
          </w:p>
        </w:tc>
        <w:tc>
          <w:tcPr>
            <w:tcW w:w="379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Соблюдается запрет продажи безалкогольных тонизирующих напитков (в том числе энергетических) в зданиях, строениях, сооружениях, помещениях, используемых для непосредственного осуществления физической культуры и спорта?</w:t>
            </w:r>
            <w:r/>
          </w:p>
        </w:tc>
        <w:tc>
          <w:tcPr>
            <w:tcW w:w="181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ч.1 ст. 4 Федерального закона</w:t>
            </w:r>
            <w:r/>
          </w:p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08.0</w:t>
            </w:r>
            <w:r>
              <w:rPr>
                <w:sz w:val="24"/>
                <w:szCs w:val="24"/>
                <w:highlight w:val="white"/>
              </w:rPr>
              <w:t xml:space="preserve">8.2024 № 304-ФЗ, ч.1 </w:t>
            </w:r>
            <w:hyperlink r:id="rId14" w:tooltip="Областной закон Ленинградской области от 12.05.2015 N 45-оз (ред. от 15.11.2024) &quot;О запрете продажи безалкогольных тонизирующих напитков (в том числе энергетических) в отдельных местах на территории Ленинградской области и о внесении изменений в областной зако" w:history="1">
              <w:r>
                <w:rPr>
                  <w:sz w:val="24"/>
                  <w:szCs w:val="24"/>
                  <w:highlight w:val="white"/>
                </w:rPr>
                <w:t xml:space="preserve">ст. 2</w:t>
              </w:r>
            </w:hyperlink>
            <w:r/>
            <w:r/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№4452-ЗПО </w:t>
            </w:r>
            <w:r/>
          </w:p>
        </w:tc>
        <w:tc>
          <w:tcPr>
            <w:tcW w:w="544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498" w:type="dxa"/>
            <w:textDirection w:val="lrTb"/>
            <w:noWrap w:val="false"/>
          </w:tcPr>
          <w:p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W w:w="852" w:type="dxa"/>
            <w:textDirection w:val="lrTb"/>
            <w:noWrap w:val="false"/>
          </w:tcPr>
          <w:p>
            <w:pPr>
              <w:ind w:firstLine="28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6</w:t>
            </w:r>
            <w:r>
              <w:rPr>
                <w:highlight w:val="white"/>
              </w:rPr>
            </w:r>
            <w:r/>
          </w:p>
        </w:tc>
        <w:tc>
          <w:tcPr>
            <w:tcW w:w="379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 xml:space="preserve">Соблюдается запрет продажи </w:t>
            </w:r>
            <w:r>
              <w:rPr>
                <w:sz w:val="24"/>
                <w:szCs w:val="24"/>
              </w:rPr>
              <w:t xml:space="preserve">безалкогольных тонизирующих напитков (в том числе энергетических</w:t>
            </w:r>
            <w:r>
              <w:rPr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  <w:highlight w:val="white"/>
              </w:rPr>
              <w:t xml:space="preserve">в</w:t>
            </w:r>
            <w:r>
              <w:rPr>
                <w:sz w:val="24"/>
                <w:szCs w:val="24"/>
                <w:highlight w:val="white"/>
              </w:rPr>
              <w:t xml:space="preserve"> местах проведения массовых мероприятий (на улицах, площадях, в зданиях, строениях, задействованных в проведении массовых гуляний, зрелищных мероприятий, парадов, спортивных мероприятий) и ярмарок в дни их проведения?</w:t>
            </w:r>
            <w:r/>
          </w:p>
        </w:tc>
        <w:tc>
          <w:tcPr>
            <w:tcW w:w="1814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ч.2 ст. 4 </w:t>
            </w:r>
            <w:r>
              <w:rPr>
                <w:sz w:val="24"/>
                <w:szCs w:val="24"/>
                <w:highlight w:val="white"/>
              </w:rPr>
              <w:t xml:space="preserve">Федерального закона</w:t>
            </w:r>
            <w:r/>
          </w:p>
          <w:p>
            <w:pPr>
              <w:jc w:val="both"/>
              <w:rPr>
                <w:highlight w:val="red"/>
              </w:rPr>
            </w:pPr>
            <w:r>
              <w:rPr>
                <w:sz w:val="24"/>
                <w:szCs w:val="24"/>
                <w:highlight w:val="white"/>
              </w:rPr>
              <w:t xml:space="preserve">от 08.0</w:t>
            </w:r>
            <w:r>
              <w:rPr>
                <w:sz w:val="24"/>
                <w:szCs w:val="24"/>
                <w:highlight w:val="white"/>
              </w:rPr>
              <w:t xml:space="preserve">8.2024 № 304-ФЗ, ч. 2 ст.2 №4452-ЗПО</w:t>
            </w:r>
            <w:r/>
          </w:p>
          <w:p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/>
          </w:p>
        </w:tc>
        <w:tc>
          <w:tcPr>
            <w:tcW w:w="544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498" w:type="dxa"/>
            <w:textDirection w:val="lrTb"/>
            <w:noWrap w:val="false"/>
          </w:tcPr>
          <w:p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W w:w="852" w:type="dxa"/>
            <w:textDirection w:val="lrTb"/>
            <w:noWrap w:val="false"/>
          </w:tcPr>
          <w:p>
            <w:pPr>
              <w:ind w:firstLine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/>
          </w:p>
        </w:tc>
        <w:tc>
          <w:tcPr>
            <w:tcW w:w="379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 xml:space="preserve">Соблюдается запрет продажи безалкогольных тонизирующих напитков (в том числе энергетических) </w:t>
            </w:r>
            <w:r>
              <w:rPr>
                <w:sz w:val="24"/>
                <w:szCs w:val="24"/>
                <w:highlight w:val="white"/>
              </w:rPr>
              <w:t xml:space="preserve">в местах массового скопления граждан в период проведения публичных мероприятий, организуемых в соответствии с Федеральным законом от 19 июня 2004 года N 54-ФЗ "О собраниях, митингах, демонстрациях, шествиях и пикетированиях", и на прилегающих к таким места</w:t>
            </w:r>
            <w:r>
              <w:rPr>
                <w:sz w:val="24"/>
                <w:szCs w:val="24"/>
                <w:highlight w:val="white"/>
              </w:rPr>
              <w:t xml:space="preserve">м территориях, границы которых устанавливаются исполнительными органами Пензенской области при согласовании проведения указанных мероприятий, а</w:t>
            </w:r>
            <w:r>
              <w:rPr>
                <w:sz w:val="24"/>
                <w:szCs w:val="24"/>
                <w:highlight w:val="white"/>
              </w:rPr>
              <w:t xml:space="preserve"> также на время проведения физкультурных мероприятий и спортивных мероприятий, спортивных соревнований, организуе</w:t>
            </w:r>
            <w:r>
              <w:rPr>
                <w:sz w:val="24"/>
                <w:szCs w:val="24"/>
                <w:highlight w:val="white"/>
              </w:rPr>
              <w:t xml:space="preserve">мых в соответствии с Федеральным законом от 4 декабря 2007 года N 329-ФЗ "О физической культуре и спорте в Российской Федерации"?</w:t>
            </w:r>
            <w:r/>
          </w:p>
        </w:tc>
        <w:tc>
          <w:tcPr>
            <w:tcW w:w="1814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ч.3 ст. 4 Федерального закона</w:t>
            </w:r>
            <w:r/>
          </w:p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08.08.2024 № 304-ФЗ, ч. 3 ст.2 №4452-ЗПО</w:t>
            </w:r>
            <w:r/>
          </w:p>
          <w:p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/>
          </w:p>
        </w:tc>
        <w:tc>
          <w:tcPr>
            <w:tcW w:w="544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498" w:type="dxa"/>
            <w:textDirection w:val="lrTb"/>
            <w:noWrap w:val="false"/>
          </w:tcPr>
          <w:p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322"/>
        </w:trPr>
        <w:tc>
          <w:tcPr>
            <w:tcW w:w="852" w:type="dxa"/>
            <w:textDirection w:val="lrTb"/>
            <w:noWrap w:val="false"/>
          </w:tcPr>
          <w:p>
            <w:pPr>
              <w:ind w:firstLine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/>
          </w:p>
        </w:tc>
        <w:tc>
          <w:tcPr>
            <w:tcW w:w="379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Соблюдаются ли правила маркировки тонизирующи</w:t>
            </w:r>
            <w:r>
              <w:rPr>
                <w:sz w:val="24"/>
                <w:szCs w:val="24"/>
                <w:highlight w:val="white"/>
              </w:rPr>
              <w:t xml:space="preserve">х (энергетических) безалкогольных напитков</w:t>
            </w:r>
            <w:r>
              <w:rPr>
                <w:sz w:val="24"/>
                <w:szCs w:val="24"/>
              </w:rPr>
              <w:t xml:space="preserve">?</w:t>
            </w:r>
            <w:r/>
          </w:p>
        </w:tc>
        <w:tc>
          <w:tcPr>
            <w:tcW w:w="181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Российской Федерации от 26.04.2019 № 515, Постановление Правительства Российской Федерации от 31.05.2023 № </w:t>
            </w:r>
            <w:r>
              <w:rPr>
                <w:sz w:val="24"/>
                <w:szCs w:val="24"/>
                <w:highlight w:val="white"/>
              </w:rPr>
              <w:t xml:space="preserve">887 </w:t>
            </w:r>
            <w:r/>
          </w:p>
        </w:tc>
        <w:tc>
          <w:tcPr>
            <w:tcW w:w="544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498" w:type="dxa"/>
            <w:textDirection w:val="lrTb"/>
            <w:noWrap w:val="false"/>
          </w:tcPr>
          <w:p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322"/>
        </w:trPr>
        <w:tc>
          <w:tcPr>
            <w:tcW w:w="852" w:type="dxa"/>
            <w:textDirection w:val="lrTb"/>
            <w:noWrap w:val="false"/>
          </w:tcPr>
          <w:p>
            <w:pPr>
              <w:ind w:firstLine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/>
          </w:p>
          <w:p>
            <w:pPr>
              <w:ind w:firstLine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379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4"/>
                <w:szCs w:val="24"/>
                <w:highlight w:val="white"/>
                <w:lang w:bidi="ar-SA"/>
              </w:rPr>
              <w:t xml:space="preserve">Соблюдается запре</w:t>
            </w:r>
            <w:r>
              <w:rPr>
                <w:sz w:val="24"/>
                <w:szCs w:val="24"/>
                <w:highlight w:val="white"/>
                <w:lang w:bidi="ar-SA"/>
              </w:rPr>
              <w:t xml:space="preserve">т продажи безалкогольных тонизирующих напитков (в том числе энергетических) без маркировки и (или) нанесения информации, предусмотренной законодательством Российской Федерации, в случае, если такая маркировка и (или) нанесение такой информации обязательны?</w:t>
            </w:r>
            <w:r/>
          </w:p>
          <w:p>
            <w:pPr>
              <w:jc w:val="both"/>
              <w:rPr>
                <w:sz w:val="24"/>
                <w:szCs w:val="24"/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4"/>
                <w:szCs w:val="24"/>
                <w:highlight w:val="white"/>
              </w:rPr>
            </w:r>
            <w:r/>
          </w:p>
        </w:tc>
        <w:tc>
          <w:tcPr>
            <w:tcW w:w="181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Постановление Правительства Российской Федерации от 26.04.2019 № 515, Постановление Правительства Российской Федерации от 31.05.2023 № 887</w:t>
            </w:r>
            <w:r/>
          </w:p>
        </w:tc>
        <w:tc>
          <w:tcPr>
            <w:tcW w:w="544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498" w:type="dxa"/>
            <w:textDirection w:val="lrTb"/>
            <w:noWrap w:val="false"/>
          </w:tcPr>
          <w:p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322"/>
        </w:trPr>
        <w:tc>
          <w:tcPr>
            <w:tcW w:w="852" w:type="dxa"/>
            <w:textDirection w:val="lrTb"/>
            <w:noWrap w:val="false"/>
          </w:tcPr>
          <w:p>
            <w:pPr>
              <w:ind w:firstLine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/>
          </w:p>
        </w:tc>
        <w:tc>
          <w:tcPr>
            <w:tcW w:w="379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4"/>
                <w:szCs w:val="24"/>
                <w:highlight w:val="white"/>
                <w:lang w:bidi="ar-SA"/>
              </w:rPr>
              <w:t xml:space="preserve">Соблюдается запрет хранения, перевозки либо приобретения беза</w:t>
            </w:r>
            <w:r>
              <w:rPr>
                <w:sz w:val="24"/>
                <w:szCs w:val="24"/>
                <w:highlight w:val="white"/>
                <w:lang w:bidi="ar-SA"/>
              </w:rPr>
              <w:t xml:space="preserve">лкогольных тонизирующих напитков (в том числе энергетических) в целях сбыта без маркировки и (или) нанесения информации, предусмотренной законодательством Российской Федерации, в случае, если такая маркировка и (или) нанесение такой информации обязательны?</w:t>
            </w:r>
            <w:r/>
          </w:p>
          <w:p>
            <w:pPr>
              <w:jc w:val="both"/>
              <w:rPr>
                <w:sz w:val="24"/>
                <w:szCs w:val="24"/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4"/>
                <w:szCs w:val="24"/>
                <w:highlight w:val="white"/>
              </w:rPr>
            </w:r>
            <w:r/>
          </w:p>
        </w:tc>
        <w:tc>
          <w:tcPr>
            <w:tcW w:w="181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Постановление Правительства Российской Федерации от 26.04.2019 № 515, Постановление Правительства Российской Федерации от 31.05.2023 № 887</w:t>
            </w:r>
            <w:r/>
          </w:p>
        </w:tc>
        <w:tc>
          <w:tcPr>
            <w:tcW w:w="544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498" w:type="dxa"/>
            <w:textDirection w:val="lrTb"/>
            <w:noWrap w:val="false"/>
          </w:tcPr>
          <w:p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322"/>
        </w:trPr>
        <w:tc>
          <w:tcPr>
            <w:tcW w:w="852" w:type="dxa"/>
            <w:textDirection w:val="lrTb"/>
            <w:noWrap w:val="false"/>
          </w:tcPr>
          <w:p>
            <w:pPr>
              <w:ind w:firstLine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/>
          </w:p>
        </w:tc>
        <w:tc>
          <w:tcPr>
            <w:tcW w:w="379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4"/>
                <w:szCs w:val="24"/>
                <w:highlight w:val="white"/>
                <w:lang w:bidi="ar-SA"/>
              </w:rPr>
              <w:t xml:space="preserve">Соблюдается ли требование о представлении сведений</w:t>
            </w:r>
            <w:r>
              <w:rPr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  <w:lang w:bidi="ar-SA"/>
              </w:rPr>
              <w:t xml:space="preserve">предусмотренных правилами маркировки товаров, подлежащих обязательной маркировке средствами идентификации оператору государственной информационной системы мониторинга за оборотом товаров, подлежащих обязательной маркировке средствами идентификации (далее -</w:t>
            </w:r>
            <w:r>
              <w:rPr>
                <w:sz w:val="24"/>
                <w:szCs w:val="24"/>
                <w:highlight w:val="white"/>
                <w:lang w:bidi="ar-SA"/>
              </w:rPr>
              <w:t xml:space="preserve"> информационная система мониторинга),</w:t>
            </w:r>
            <w:r>
              <w:rPr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  <w:lang w:bidi="ar-SA"/>
              </w:rPr>
              <w:t xml:space="preserve">если представление указанных сведений является обязательным в соответствии с законодательством Российской Федерации?</w:t>
            </w:r>
            <w:r/>
          </w:p>
        </w:tc>
        <w:tc>
          <w:tcPr>
            <w:tcW w:w="181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Постановление Правительства Российской Федерации от 26.04.2019 № 515 «О системе маркировки товаров ср</w:t>
            </w:r>
            <w:r>
              <w:rPr>
                <w:sz w:val="24"/>
                <w:szCs w:val="24"/>
                <w:highlight w:val="white"/>
              </w:rPr>
              <w:t xml:space="preserve">едствами идентификации и </w:t>
            </w:r>
            <w:r>
              <w:rPr>
                <w:sz w:val="24"/>
                <w:szCs w:val="24"/>
                <w:highlight w:val="white"/>
              </w:rPr>
              <w:t xml:space="preserve">прослеживаемости</w:t>
            </w:r>
            <w:r>
              <w:rPr>
                <w:sz w:val="24"/>
                <w:szCs w:val="24"/>
                <w:highlight w:val="white"/>
              </w:rPr>
              <w:t xml:space="preserve"> движения товаров»</w:t>
            </w:r>
            <w:r>
              <w:rPr>
                <w:sz w:val="24"/>
                <w:szCs w:val="24"/>
                <w:highlight w:val="white"/>
              </w:rPr>
              <w:t xml:space="preserve"> ,</w:t>
            </w:r>
            <w:r>
              <w:rPr>
                <w:sz w:val="24"/>
                <w:szCs w:val="24"/>
                <w:highlight w:val="white"/>
              </w:rPr>
              <w:t xml:space="preserve"> Постановление Правительства Российской Федерации от 31.05.2023 № 887 </w:t>
            </w:r>
            <w:r/>
          </w:p>
        </w:tc>
        <w:tc>
          <w:tcPr>
            <w:tcW w:w="544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498" w:type="dxa"/>
            <w:textDirection w:val="lrTb"/>
            <w:noWrap w:val="false"/>
          </w:tcPr>
          <w:p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322"/>
        </w:trPr>
        <w:tc>
          <w:tcPr>
            <w:tcW w:w="852" w:type="dxa"/>
            <w:textDirection w:val="lrTb"/>
            <w:noWrap w:val="false"/>
          </w:tcPr>
          <w:p>
            <w:pPr>
              <w:ind w:firstLine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/>
          </w:p>
        </w:tc>
        <w:tc>
          <w:tcPr>
            <w:tcW w:w="379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sz w:val="24"/>
                <w:szCs w:val="24"/>
                <w:highlight w:val="white"/>
                <w:lang w:bidi="ar-SA"/>
              </w:rPr>
              <w:t xml:space="preserve">Соблюдается ли порядок и сроки представления сведений, </w:t>
            </w:r>
            <w:r>
              <w:rPr>
                <w:sz w:val="24"/>
                <w:szCs w:val="24"/>
                <w:highlight w:val="white"/>
                <w:lang w:bidi="ar-SA"/>
              </w:rPr>
              <w:t xml:space="preserve">предусмотренных правилами маркировки товаров, подлежащих обязательной маркировке средствами идентификации </w:t>
            </w:r>
            <w:r>
              <w:rPr>
                <w:sz w:val="24"/>
                <w:szCs w:val="24"/>
                <w:highlight w:val="white"/>
                <w:lang w:bidi="ar-SA"/>
              </w:rPr>
              <w:t xml:space="preserve">оператору информационной системы, если представление указанных сведений является обязательным в соответствии с законодательством Российской Федерации?</w:t>
            </w:r>
            <w:r/>
          </w:p>
        </w:tc>
        <w:tc>
          <w:tcPr>
            <w:tcW w:w="181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Постановление Правительства Российской Федерации от 26.04.2019 № 515, </w:t>
            </w:r>
            <w:r>
              <w:rPr>
                <w:sz w:val="24"/>
                <w:szCs w:val="24"/>
                <w:highlight w:val="white"/>
              </w:rPr>
              <w:t xml:space="preserve">Постановление Правительства Российской Федерации от 31.05.2023 № 887</w:t>
            </w:r>
            <w:r/>
          </w:p>
        </w:tc>
        <w:tc>
          <w:tcPr>
            <w:tcW w:w="544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498" w:type="dxa"/>
            <w:textDirection w:val="lrTb"/>
            <w:noWrap w:val="false"/>
          </w:tcPr>
          <w:p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322"/>
        </w:trPr>
        <w:tc>
          <w:tcPr>
            <w:tcW w:w="852" w:type="dxa"/>
            <w:textDirection w:val="lrTb"/>
            <w:noWrap w:val="false"/>
          </w:tcPr>
          <w:p>
            <w:pPr>
              <w:ind w:firstLine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</w:t>
            </w:r>
            <w:r/>
          </w:p>
        </w:tc>
        <w:tc>
          <w:tcPr>
            <w:tcW w:w="379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 возникновения у продавца сомнения в достижении покупателем безалкогольных тонизирующих напитков (в том числе энергетических) совершеннолетия, требует ли он у покупателя документы, позволяющие установить  его возраст?</w:t>
            </w:r>
            <w:r/>
          </w:p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/>
          </w:p>
          <w:p>
            <w:pPr>
              <w:jc w:val="both"/>
              <w:rPr>
                <w:strike/>
                <w:sz w:val="24"/>
                <w:szCs w:val="24"/>
                <w:highlight w:val="white"/>
              </w:rPr>
            </w:pPr>
            <w:r>
              <w:rPr>
                <w:strike/>
                <w:sz w:val="24"/>
                <w:szCs w:val="24"/>
                <w:highlight w:val="white"/>
              </w:rPr>
            </w:r>
            <w:r/>
          </w:p>
          <w:p>
            <w:pPr>
              <w:jc w:val="both"/>
              <w:rPr>
                <w:strike/>
                <w:sz w:val="24"/>
                <w:szCs w:val="24"/>
                <w:highlight w:val="white"/>
              </w:rPr>
            </w:pPr>
            <w:r>
              <w:rPr>
                <w:strike/>
                <w:sz w:val="24"/>
                <w:szCs w:val="24"/>
                <w:highlight w:val="white"/>
              </w:rPr>
            </w:r>
            <w:r/>
          </w:p>
        </w:tc>
        <w:tc>
          <w:tcPr>
            <w:tcW w:w="181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ч.1 ст. 3 Федерального закона</w:t>
            </w:r>
            <w:r/>
          </w:p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08.08.2024 № 304-ФЗ, Приказ </w:t>
            </w:r>
            <w:r>
              <w:rPr>
                <w:sz w:val="24"/>
                <w:szCs w:val="24"/>
                <w:highlight w:val="white"/>
              </w:rPr>
              <w:t xml:space="preserve">Минпромторга</w:t>
            </w:r>
            <w:r>
              <w:rPr>
                <w:sz w:val="24"/>
                <w:szCs w:val="24"/>
                <w:highlight w:val="white"/>
              </w:rPr>
              <w:t xml:space="preserve"> России №536 от 07.02.2025 «Об утверждении перечня документов, позволяющих установить возраст покупателя безалкогольных тонизирующих напитков (в том </w:t>
            </w:r>
            <w:r>
              <w:rPr>
                <w:sz w:val="24"/>
                <w:szCs w:val="24"/>
                <w:highlight w:val="white"/>
              </w:rPr>
              <w:t xml:space="preserve">числе энергетических), которые вправе потребовать лицо, непосредственно осуществляющее продажу указанных напитков, в случае возникновения у него сомнения в достижении таким покупателем совершеннолетия»</w:t>
            </w:r>
            <w:r/>
          </w:p>
        </w:tc>
        <w:tc>
          <w:tcPr>
            <w:tcW w:w="544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498" w:type="dxa"/>
            <w:textDirection w:val="lrTb"/>
            <w:noWrap w:val="false"/>
          </w:tcPr>
          <w:p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</w:tbl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tbl>
      <w:tblPr>
        <w:tblW w:w="0" w:type="auto"/>
        <w:tblBorders>
          <w:insideH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098"/>
        <w:gridCol w:w="1984"/>
        <w:gridCol w:w="4989"/>
      </w:tblGrid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</w:tcBorders>
            <w:tcW w:w="2098" w:type="dxa"/>
            <w:textDirection w:val="lrTb"/>
            <w:noWrap w:val="false"/>
          </w:tcPr>
          <w:p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</w:tcBorders>
            <w:tcW w:w="1984" w:type="dxa"/>
            <w:textDirection w:val="lrTb"/>
            <w:noWrap w:val="false"/>
          </w:tcPr>
          <w:p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</w:tcBorders>
            <w:tcW w:w="4989" w:type="dxa"/>
            <w:textDirection w:val="lrTb"/>
            <w:noWrap w:val="false"/>
          </w:tcPr>
          <w:p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Borders>
              <w:left w:val="none" w:color="000000" w:sz="4" w:space="0"/>
              <w:right w:val="none" w:color="000000" w:sz="4" w:space="0"/>
              <w:bottom w:val="none" w:color="000000" w:sz="4" w:space="0"/>
            </w:tcBorders>
            <w:tcW w:w="209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(должность)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  <w:bottom w:val="non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(подпись)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  <w:bottom w:val="none" w:color="000000" w:sz="4" w:space="0"/>
            </w:tcBorders>
            <w:tcW w:w="4989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должность, фамилия, инициалы инспектора (руководителя группы инспекторов), проводившего контрольное (надзорное) мероприятие</w:t>
            </w:r>
            <w:r/>
          </w:p>
        </w:tc>
      </w:tr>
    </w:tbl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708"/>
        <w:jc w:val="both"/>
        <w:rPr>
          <w:sz w:val="24"/>
          <w:szCs w:val="24"/>
        </w:rPr>
        <w:pBdr>
          <w:bottom w:val="single" w:sz="6" w:space="1" w:color="auto"/>
        </w:pBdr>
      </w:pPr>
      <w:r>
        <w:rPr>
          <w:sz w:val="24"/>
          <w:szCs w:val="24"/>
        </w:rPr>
      </w:r>
      <w:r/>
    </w:p>
    <w:p>
      <w:pPr>
        <w:ind w:firstLine="708"/>
        <w:jc w:val="both"/>
        <w:rPr>
          <w:sz w:val="24"/>
          <w:szCs w:val="24"/>
        </w:rPr>
        <w:pBdr>
          <w:top w:val="none" w:sz="0" w:space="0" w:color="auto"/>
        </w:pBdr>
      </w:pPr>
      <w:r>
        <w:rPr>
          <w:sz w:val="24"/>
          <w:szCs w:val="24"/>
        </w:rPr>
      </w:r>
      <w:r/>
    </w:p>
    <w:p>
      <w:pPr>
        <w:ind w:firstLine="540"/>
        <w:jc w:val="both"/>
        <w:rPr>
          <w:sz w:val="24"/>
          <w:szCs w:val="24"/>
          <w:highlight w:val="white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sz w:val="24"/>
          <w:szCs w:val="24"/>
          <w:highlight w:val="white"/>
          <w:lang w:bidi="ar-SA"/>
        </w:rPr>
        <w:t xml:space="preserve">&lt;1&gt;</w:t>
      </w:r>
      <w:r>
        <w:rPr>
          <w:sz w:val="24"/>
          <w:szCs w:val="24"/>
          <w:highlight w:val="white"/>
          <w:lang w:bidi="ar-SA"/>
        </w:rPr>
        <w:t xml:space="preserve"> Проверочный лист подлежит обязательному применению при осуществлении рейдового осмотра и выездной проверки в рамках планового контрольного (надзорного) мероприятия.</w:t>
      </w:r>
      <w:r/>
    </w:p>
    <w:p>
      <w:pPr>
        <w:ind w:firstLine="540"/>
        <w:jc w:val="both"/>
        <w:spacing w:before="240"/>
        <w:rPr>
          <w:sz w:val="24"/>
          <w:szCs w:val="24"/>
          <w:highlight w:val="white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sz w:val="24"/>
          <w:szCs w:val="24"/>
          <w:highlight w:val="white"/>
          <w:lang w:bidi="ar-SA"/>
        </w:rPr>
        <w:t xml:space="preserve">&lt;2&gt; "Да" - если контролируемым лицом соблюдаются обязательные требования, ставится знак "+</w:t>
      </w:r>
      <w:r>
        <w:rPr>
          <w:sz w:val="24"/>
          <w:szCs w:val="24"/>
          <w:highlight w:val="white"/>
          <w:lang w:bidi="ar-SA"/>
        </w:rPr>
        <w:t xml:space="preserve">" (плюс).</w:t>
      </w:r>
      <w:r/>
    </w:p>
    <w:p>
      <w:pPr>
        <w:ind w:firstLine="540"/>
        <w:jc w:val="both"/>
        <w:spacing w:before="240"/>
        <w:rPr>
          <w:sz w:val="24"/>
          <w:szCs w:val="24"/>
          <w:highlight w:val="white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sz w:val="24"/>
          <w:szCs w:val="24"/>
          <w:highlight w:val="white"/>
          <w:lang w:bidi="ar-SA"/>
        </w:rPr>
        <w:t xml:space="preserve">&lt;3&gt; "Нет" - если контролируемым лицом не соблюдаются обязательные требования, ставится знак "+" (плюс).</w:t>
      </w:r>
      <w:r/>
    </w:p>
    <w:p>
      <w:pPr>
        <w:ind w:firstLine="540"/>
        <w:jc w:val="both"/>
        <w:spacing w:before="240"/>
        <w:rPr>
          <w:sz w:val="24"/>
          <w:szCs w:val="24"/>
          <w:highlight w:val="white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sz w:val="24"/>
          <w:szCs w:val="24"/>
          <w:highlight w:val="white"/>
          <w:lang w:bidi="ar-SA"/>
        </w:rPr>
        <w:t xml:space="preserve">&lt;4&gt; "Не применимо" - если </w:t>
      </w:r>
      <w:r>
        <w:rPr>
          <w:sz w:val="24"/>
          <w:szCs w:val="24"/>
          <w:highlight w:val="white"/>
          <w:lang w:bidi="ar-SA"/>
        </w:rPr>
        <w:t xml:space="preserve">предъявляемые</w:t>
      </w:r>
      <w:r>
        <w:rPr>
          <w:sz w:val="24"/>
          <w:szCs w:val="24"/>
          <w:highlight w:val="white"/>
          <w:lang w:bidi="ar-SA"/>
        </w:rPr>
        <w:t xml:space="preserve"> обязательные требование не подлежат соблюдению проверяемым контролируемым лицом, ставится знак "+" (пл</w:t>
      </w:r>
      <w:r>
        <w:rPr>
          <w:sz w:val="24"/>
          <w:szCs w:val="24"/>
          <w:highlight w:val="white"/>
          <w:lang w:bidi="ar-SA"/>
        </w:rPr>
        <w:t xml:space="preserve">юс).</w:t>
      </w:r>
      <w:r/>
    </w:p>
    <w:p>
      <w:pPr>
        <w:ind w:firstLine="540"/>
        <w:jc w:val="both"/>
        <w:spacing w:before="240"/>
        <w:rPr>
          <w:sz w:val="24"/>
          <w:szCs w:val="24"/>
          <w:highlight w:val="white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sz w:val="24"/>
          <w:szCs w:val="24"/>
          <w:highlight w:val="white"/>
          <w:lang w:bidi="ar-SA"/>
        </w:rPr>
        <w:t xml:space="preserve">&lt;5&gt; "Примечания" - подлежит обязательному заполнению в случае заполнения графы "Неприменимо".</w:t>
      </w:r>
      <w:r/>
    </w:p>
    <w:p>
      <w:pPr>
        <w:ind w:firstLine="708"/>
        <w:jc w:val="both"/>
        <w:rPr>
          <w:sz w:val="24"/>
          <w:szCs w:val="24"/>
        </w:rPr>
        <w:pBdr>
          <w:top w:val="none" w:sz="0" w:space="0" w:color="auto"/>
        </w:pBdr>
      </w:pPr>
      <w:r>
        <w:rPr>
          <w:sz w:val="24"/>
          <w:szCs w:val="24"/>
        </w:rPr>
      </w:r>
      <w:r/>
    </w:p>
    <w:p>
      <w:pPr>
        <w:ind w:firstLine="708"/>
        <w:jc w:val="both"/>
        <w:rPr>
          <w:sz w:val="24"/>
          <w:szCs w:val="24"/>
        </w:rPr>
        <w:pBdr>
          <w:top w:val="none" w:sz="0" w:space="0" w:color="auto"/>
        </w:pBdr>
      </w:pPr>
      <w:r>
        <w:rPr>
          <w:sz w:val="24"/>
          <w:szCs w:val="24"/>
        </w:rPr>
      </w:r>
      <w:r/>
    </w:p>
    <w:sectPr>
      <w:headerReference w:type="default" r:id="rId8"/>
      <w:headerReference w:type="even" r:id="rId9"/>
      <w:footnotePr/>
      <w:type w:val="nextPage"/>
      <w:pgSz w:w="11906" w:h="16838" w:orient="portrait"/>
      <w:pgMar w:top="1079" w:right="850" w:bottom="1079" w:left="1418" w:header="709" w:footer="709" w:gutter="0"/>
      <w:cols w:num="1" w:sep="0" w:space="708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Tahoma">
    <w:panose1 w:val="020B0604030504040204"/>
  </w:font>
  <w:font w:name="Calibri">
    <w:panose1 w:val="020F0502020204030204"/>
  </w:font>
  <w:font w:name="Courier New">
    <w:panose1 w:val="02070309020205020404"/>
  </w:font>
  <w:font w:name="Arial">
    <w:panose1 w:val="020B0604020202020204"/>
  </w:font>
  <w:font w:name="Cambria">
    <w:panose1 w:val="0204050305040603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528"/>
      <w:ind w:right="-92"/>
      <w:rPr>
        <w:rStyle w:val="681"/>
      </w:rPr>
      <w:framePr w:w="238" w:wrap="around" w:vAnchor="text" w:hAnchor="margin" w:xAlign="center" w:y="1"/>
    </w:pPr>
    <w:r>
      <w:rPr>
        <w:rStyle w:val="681"/>
      </w:rPr>
      <w:fldChar w:fldCharType="begin"/>
    </w:r>
    <w:r>
      <w:rPr>
        <w:rStyle w:val="681"/>
      </w:rPr>
      <w:instrText xml:space="preserve">PAGE  </w:instrText>
    </w:r>
    <w:r>
      <w:rPr>
        <w:rStyle w:val="681"/>
      </w:rPr>
      <w:fldChar w:fldCharType="separate"/>
    </w:r>
    <w:r>
      <w:rPr>
        <w:rStyle w:val="681"/>
      </w:rPr>
      <w:t xml:space="preserve">4</w:t>
    </w:r>
    <w:r>
      <w:rPr>
        <w:rStyle w:val="681"/>
      </w:rPr>
      <w:fldChar w:fldCharType="end"/>
    </w:r>
    <w:r/>
  </w:p>
  <w:p>
    <w:pPr>
      <w:pStyle w:val="52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528"/>
      <w:rPr>
        <w:rStyle w:val="681"/>
      </w:rPr>
      <w:framePr w:wrap="around" w:vAnchor="text" w:hAnchor="margin" w:xAlign="center" w:y="1"/>
    </w:pPr>
    <w:r>
      <w:rPr>
        <w:rStyle w:val="681"/>
      </w:rPr>
      <w:fldChar w:fldCharType="begin"/>
    </w:r>
    <w:r>
      <w:rPr>
        <w:rStyle w:val="681"/>
      </w:rPr>
      <w:instrText xml:space="preserve">PAGE  </w:instrText>
    </w:r>
    <w:r>
      <w:rPr>
        <w:rStyle w:val="681"/>
      </w:rPr>
      <w:fldChar w:fldCharType="end"/>
    </w:r>
    <w:r/>
  </w:p>
  <w:p>
    <w:pPr>
      <w:pStyle w:val="52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3"/>
      <w:numFmt w:val="decimal"/>
      <w:isLgl w:val="false"/>
      <w:suff w:val="tab"/>
      <w:lvlText w:val="%1.%2."/>
      <w:lvlJc w:val="left"/>
      <w:pPr>
        <w:ind w:left="831" w:hanging="40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44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90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900" w:hanging="36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260" w:hanging="72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260" w:hanging="72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62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620" w:hanging="108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620" w:hanging="10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60" w:hanging="1140"/>
      </w:pPr>
    </w:lvl>
    <w:lvl w:ilvl="1">
      <w:start w:val="1"/>
      <w:numFmt w:val="decimal"/>
      <w:isLgl w:val="false"/>
      <w:suff w:val="tab"/>
      <w:lvlText w:val="%1.%2."/>
      <w:lvlJc w:val="left"/>
      <w:pPr>
        <w:ind w:left="1995" w:hanging="127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995" w:hanging="1275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95" w:hanging="1275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995" w:hanging="1275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21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87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87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47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47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007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007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67" w:hanging="180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365" w:hanging="825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84" w:hanging="975"/>
      </w:pPr>
    </w:lvl>
    <w:lvl w:ilvl="1">
      <w:start w:val="1"/>
      <w:numFmt w:val="decimal"/>
      <w:isLgl w:val="false"/>
      <w:suff w:val="tab"/>
      <w:lvlText w:val="%1.%2."/>
      <w:lvlJc w:val="left"/>
      <w:pPr>
        <w:ind w:left="2404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337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4714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6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7024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835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334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669" w:hanging="2160"/>
      </w:pPr>
    </w:lvl>
  </w:abstractNum>
  <w:abstractNum w:abstractNumId="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070" w:hanging="360"/>
      </w:pPr>
      <w:rPr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95" w:hanging="390"/>
        <w:tabs>
          <w:tab w:val="num" w:pos="1095" w:leader="none"/>
        </w:tabs>
      </w:pPr>
    </w:lvl>
    <w:lvl w:ilvl="1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0"/>
      <w:numFmt w:val="decimal"/>
      <w:isLgl w:val="false"/>
      <w:suff w:val="tab"/>
      <w:lvlText w:val="%1"/>
      <w:lvlJc w:val="left"/>
      <w:pPr>
        <w:ind w:left="420" w:hanging="420"/>
      </w:pPr>
    </w:lvl>
    <w:lvl w:ilvl="1">
      <w:start w:val="1"/>
      <w:numFmt w:val="decimal"/>
      <w:isLgl w:val="false"/>
      <w:suff w:val="tab"/>
      <w:lvlText w:val="%1.%2"/>
      <w:lvlJc w:val="left"/>
      <w:pPr>
        <w:ind w:left="420" w:hanging="420"/>
      </w:p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rFonts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4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60" w:hanging="1140"/>
      </w:pPr>
    </w:lvl>
    <w:lvl w:ilvl="1">
      <w:start w:val="1"/>
      <w:numFmt w:val="decimal"/>
      <w:isLgl w:val="false"/>
      <w:suff w:val="tab"/>
      <w:lvlText w:val="%1.%2."/>
      <w:lvlJc w:val="left"/>
      <w:pPr>
        <w:ind w:left="1995" w:hanging="127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995" w:hanging="1275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95" w:hanging="1275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995" w:hanging="1275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216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2"/>
      <w:numFmt w:val="decimal"/>
      <w:isLgl w:val="false"/>
      <w:suff w:val="tab"/>
      <w:lvlText w:val="%1.%2."/>
      <w:lvlJc w:val="left"/>
      <w:pPr>
        <w:ind w:left="126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9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34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0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42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1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5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20" w:hanging="180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60" w:hanging="1140"/>
      </w:pPr>
    </w:lvl>
    <w:lvl w:ilvl="1">
      <w:start w:val="1"/>
      <w:numFmt w:val="decimal"/>
      <w:isLgl w:val="false"/>
      <w:suff w:val="tab"/>
      <w:lvlText w:val="%1.%2."/>
      <w:lvlJc w:val="left"/>
      <w:pPr>
        <w:ind w:left="1995" w:hanging="127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995" w:hanging="1275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95" w:hanging="1275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995" w:hanging="1275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216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1004" w:hanging="360"/>
      </w:pPr>
      <w:rPr>
        <w:rFonts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1">
    <w:multiLevelType w:val="hybridMultilevel"/>
    <w:lvl w:ilvl="0">
      <w:start w:val="29"/>
      <w:numFmt w:val="decimal"/>
      <w:isLgl w:val="false"/>
      <w:suff w:val="tab"/>
      <w:lvlText w:val="%1"/>
      <w:lvlJc w:val="left"/>
      <w:pPr>
        <w:ind w:left="420" w:hanging="420"/>
      </w:pPr>
    </w:lvl>
    <w:lvl w:ilvl="1">
      <w:start w:val="3"/>
      <w:numFmt w:val="decimal"/>
      <w:isLgl w:val="false"/>
      <w:suff w:val="tab"/>
      <w:lvlText w:val="%1.%2"/>
      <w:lvlJc w:val="left"/>
      <w:pPr>
        <w:ind w:left="420" w:hanging="420"/>
      </w:p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900"/>
      </w:pPr>
      <w:rPr>
        <w:rFonts w:eastAsia="Calibri"/>
      </w:rPr>
    </w:lvl>
    <w:lvl w:ilvl="1">
      <w:start w:val="1"/>
      <w:numFmt w:val="decimal"/>
      <w:isLgl w:val="false"/>
      <w:suff w:val="tab"/>
      <w:lvlText w:val="%2."/>
      <w:lvlJc w:val="left"/>
      <w:pPr>
        <w:ind w:left="1605" w:hanging="1065"/>
      </w:pPr>
      <w:rPr>
        <w:rFonts w:ascii="Times New Roman" w:hAnsi="Times New Roman" w:eastAsia="Calibri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605" w:hanging="1065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62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34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3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700" w:hanging="2160"/>
      </w:pPr>
    </w:lvl>
  </w:abstractNum>
  <w:abstractNum w:abstractNumId="23">
    <w:multiLevelType w:val="hybridMultilevel"/>
    <w:lvl w:ilvl="0">
      <w:start w:val="10"/>
      <w:numFmt w:val="decimal"/>
      <w:isLgl w:val="false"/>
      <w:suff w:val="tab"/>
      <w:lvlText w:val="%1"/>
      <w:lvlJc w:val="left"/>
      <w:pPr>
        <w:ind w:left="420" w:hanging="420"/>
      </w:pPr>
    </w:lvl>
    <w:lvl w:ilvl="1">
      <w:start w:val="1"/>
      <w:numFmt w:val="decimal"/>
      <w:isLgl w:val="false"/>
      <w:suff w:val="tab"/>
      <w:lvlText w:val="%1.%2"/>
      <w:lvlJc w:val="left"/>
      <w:pPr>
        <w:ind w:left="420" w:hanging="420"/>
      </w:p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1004" w:hanging="360"/>
      </w:pPr>
      <w:rPr>
        <w:rFonts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5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02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34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8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120" w:hanging="1800"/>
      </w:pPr>
    </w:lvl>
  </w:abstractNum>
  <w:abstractNum w:abstractNumId="2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7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4"/>
      <w:numFmt w:val="decimal"/>
      <w:isLgl w:val="false"/>
      <w:suff w:val="tab"/>
      <w:lvlText w:val="%1.%2."/>
      <w:lvlJc w:val="left"/>
      <w:pPr>
        <w:ind w:left="90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34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60" w:hanging="144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eastAsia="Calibri"/>
        <w:sz w:val="20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44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90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</w:pPr>
    </w:lvl>
  </w:abstractNum>
  <w:abstractNum w:abstractNumId="31">
    <w:multiLevelType w:val="hybridMultilevel"/>
    <w:lvl w:ilvl="0">
      <w:start w:val="3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2"/>
      <w:numFmt w:val="decimal"/>
      <w:isLgl w:val="false"/>
      <w:suff w:val="tab"/>
      <w:lvlText w:val="%1.%2."/>
      <w:lvlJc w:val="left"/>
      <w:pPr>
        <w:ind w:left="48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32" w:hanging="765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2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</w:pPr>
    </w:lvl>
  </w:abstractNum>
  <w:abstractNum w:abstractNumId="35">
    <w:multiLevelType w:val="hybridMultilevel"/>
    <w:lvl w:ilvl="0">
      <w:start w:val="29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622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004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146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4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79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292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434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936" w:hanging="180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7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18" w:hanging="1110"/>
        <w:tabs>
          <w:tab w:val="num" w:pos="1818" w:leader="none"/>
        </w:tabs>
      </w:pPr>
      <w:rPr>
        <w:sz w:val="28"/>
        <w:szCs w:val="28"/>
      </w:rPr>
    </w:lvl>
    <w:lvl w:ilvl="1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0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2"/>
      <w:numFmt w:val="decimal"/>
      <w:isLgl w:val="false"/>
      <w:suff w:val="tab"/>
      <w:lvlText w:val="%1.%2."/>
      <w:lvlJc w:val="left"/>
      <w:pPr>
        <w:ind w:left="36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41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900" w:hanging="360"/>
      </w:pPr>
      <w:rPr>
        <w:rFonts w:eastAsia="Calibri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04" w:hanging="390"/>
        <w:tabs>
          <w:tab w:val="num" w:pos="1804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214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286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358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430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502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574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646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7189" w:leader="none"/>
        </w:tabs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4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288" w:hanging="720"/>
      </w:pPr>
    </w:lvl>
    <w:lvl w:ilvl="1">
      <w:start w:val="2"/>
      <w:numFmt w:val="decimal"/>
      <w:isLgl w:val="false"/>
      <w:suff w:val="tab"/>
      <w:lvlText w:val="%1.%2"/>
      <w:lvlJc w:val="left"/>
      <w:pPr>
        <w:ind w:left="928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288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288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288" w:hanging="72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648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648" w:hanging="108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008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008" w:hanging="144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48" w:hanging="1080"/>
      </w:pPr>
      <w:rPr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46">
    <w:multiLevelType w:val="hybridMultilevel"/>
    <w:lvl w:ilvl="0">
      <w:start w:val="29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4"/>
      <w:numFmt w:val="decimal"/>
      <w:isLgl w:val="false"/>
      <w:suff w:val="tab"/>
      <w:lvlText w:val="%1.%2."/>
      <w:lvlJc w:val="left"/>
      <w:pPr>
        <w:ind w:left="48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38"/>
  </w:num>
  <w:num w:numId="3">
    <w:abstractNumId w:val="42"/>
  </w:num>
  <w:num w:numId="4">
    <w:abstractNumId w:val="45"/>
  </w:num>
  <w:num w:numId="5">
    <w:abstractNumId w:val="9"/>
  </w:num>
  <w:num w:numId="6">
    <w:abstractNumId w:val="22"/>
  </w:num>
  <w:num w:numId="7">
    <w:abstractNumId w:val="33"/>
  </w:num>
  <w:num w:numId="8">
    <w:abstractNumId w:val="6"/>
  </w:num>
  <w:num w:numId="9">
    <w:abstractNumId w:val="13"/>
  </w:num>
  <w:num w:numId="10">
    <w:abstractNumId w:val="1"/>
  </w:num>
  <w:num w:numId="11">
    <w:abstractNumId w:val="28"/>
  </w:num>
  <w:num w:numId="12">
    <w:abstractNumId w:val="5"/>
  </w:num>
  <w:num w:numId="13">
    <w:abstractNumId w:val="44"/>
  </w:num>
  <w:num w:numId="14">
    <w:abstractNumId w:val="26"/>
  </w:num>
  <w:num w:numId="15">
    <w:abstractNumId w:val="30"/>
  </w:num>
  <w:num w:numId="16">
    <w:abstractNumId w:val="34"/>
  </w:num>
  <w:num w:numId="17">
    <w:abstractNumId w:val="16"/>
  </w:num>
  <w:num w:numId="18">
    <w:abstractNumId w:val="25"/>
  </w:num>
  <w:num w:numId="19">
    <w:abstractNumId w:val="41"/>
  </w:num>
  <w:num w:numId="20">
    <w:abstractNumId w:val="11"/>
  </w:num>
  <w:num w:numId="21">
    <w:abstractNumId w:val="35"/>
  </w:num>
  <w:num w:numId="22">
    <w:abstractNumId w:val="21"/>
  </w:num>
  <w:num w:numId="23">
    <w:abstractNumId w:val="46"/>
  </w:num>
  <w:num w:numId="24">
    <w:abstractNumId w:val="31"/>
  </w:num>
  <w:num w:numId="25">
    <w:abstractNumId w:val="37"/>
  </w:num>
  <w:num w:numId="26">
    <w:abstractNumId w:val="23"/>
  </w:num>
  <w:num w:numId="27">
    <w:abstractNumId w:val="0"/>
  </w:num>
  <w:num w:numId="28">
    <w:abstractNumId w:val="4"/>
  </w:num>
  <w:num w:numId="29">
    <w:abstractNumId w:val="36"/>
  </w:num>
  <w:num w:numId="30">
    <w:abstractNumId w:val="47"/>
  </w:num>
  <w:num w:numId="31">
    <w:abstractNumId w:val="39"/>
  </w:num>
  <w:num w:numId="32">
    <w:abstractNumId w:val="40"/>
  </w:num>
  <w:num w:numId="33">
    <w:abstractNumId w:val="27"/>
  </w:num>
  <w:num w:numId="34">
    <w:abstractNumId w:val="14"/>
  </w:num>
  <w:num w:numId="35">
    <w:abstractNumId w:val="20"/>
  </w:num>
  <w:num w:numId="36">
    <w:abstractNumId w:val="32"/>
  </w:num>
  <w:num w:numId="37">
    <w:abstractNumId w:val="43"/>
  </w:num>
  <w:num w:numId="38">
    <w:abstractNumId w:val="29"/>
  </w:num>
  <w:num w:numId="39">
    <w:abstractNumId w:val="3"/>
  </w:num>
  <w:num w:numId="40">
    <w:abstractNumId w:val="17"/>
  </w:num>
  <w:num w:numId="41">
    <w:abstractNumId w:val="19"/>
  </w:num>
  <w:num w:numId="42">
    <w:abstractNumId w:val="24"/>
  </w:num>
  <w:num w:numId="43">
    <w:abstractNumId w:val="12"/>
  </w:num>
  <w:num w:numId="44">
    <w:abstractNumId w:val="18"/>
  </w:num>
  <w:num w:numId="45">
    <w:abstractNumId w:val="15"/>
  </w:num>
  <w:num w:numId="46">
    <w:abstractNumId w:val="2"/>
  </w:num>
  <w:num w:numId="47">
    <w:abstractNumId w:val="10"/>
  </w:num>
  <w:num w:numId="48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86" w:default="1">
    <w:name w:val="Normal"/>
    <w:qFormat/>
  </w:style>
  <w:style w:type="paragraph" w:styleId="487">
    <w:name w:val="Heading 1"/>
    <w:basedOn w:val="486"/>
    <w:next w:val="486"/>
    <w:link w:val="509"/>
    <w:rPr>
      <w:b/>
      <w:sz w:val="28"/>
    </w:rPr>
    <w:pPr>
      <w:jc w:val="center"/>
      <w:keepNext/>
      <w:outlineLvl w:val="0"/>
    </w:pPr>
  </w:style>
  <w:style w:type="paragraph" w:styleId="488">
    <w:name w:val="Heading 2"/>
    <w:basedOn w:val="486"/>
    <w:next w:val="486"/>
    <w:link w:val="710"/>
    <w:rPr>
      <w:rFonts w:ascii="Cambria" w:hAnsi="Cambria"/>
      <w:b/>
      <w:bCs/>
      <w:i/>
      <w:iCs/>
      <w:sz w:val="28"/>
      <w:szCs w:val="28"/>
    </w:rPr>
    <w:pPr>
      <w:keepNext/>
      <w:spacing w:after="60" w:before="240"/>
      <w:outlineLvl w:val="1"/>
    </w:pPr>
  </w:style>
  <w:style w:type="paragraph" w:styleId="489">
    <w:name w:val="Heading 3"/>
    <w:basedOn w:val="486"/>
    <w:next w:val="486"/>
    <w:link w:val="690"/>
    <w:rPr>
      <w:b/>
      <w:sz w:val="40"/>
      <w:lang w:val="en-US"/>
    </w:rPr>
    <w:pPr>
      <w:jc w:val="center"/>
      <w:keepNext/>
      <w:outlineLvl w:val="2"/>
    </w:pPr>
  </w:style>
  <w:style w:type="paragraph" w:styleId="490">
    <w:name w:val="Heading 4"/>
    <w:link w:val="512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491">
    <w:name w:val="Heading 5"/>
    <w:link w:val="513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492">
    <w:name w:val="Heading 6"/>
    <w:link w:val="514"/>
    <w:qFormat/>
    <w:uiPriority w:val="9"/>
    <w:unhideWhenUsed/>
    <w:rPr>
      <w:rFonts w:ascii="Arial" w:hAnsi="Arial" w:cs="Arial" w:eastAsia="Arial"/>
      <w:b/>
      <w:bCs/>
      <w:sz w:val="22"/>
    </w:rPr>
    <w:pPr>
      <w:keepLines/>
      <w:keepNext/>
      <w:spacing w:after="200" w:before="320"/>
      <w:outlineLvl w:val="5"/>
    </w:pPr>
  </w:style>
  <w:style w:type="paragraph" w:styleId="493">
    <w:name w:val="Heading 7"/>
    <w:link w:val="515"/>
    <w:qFormat/>
    <w:uiPriority w:val="9"/>
    <w:unhideWhenUsed/>
    <w:rPr>
      <w:rFonts w:ascii="Arial" w:hAnsi="Arial" w:cs="Arial" w:eastAsia="Arial"/>
      <w:b/>
      <w:bCs/>
      <w:i/>
      <w:iCs/>
      <w:sz w:val="22"/>
    </w:rPr>
    <w:pPr>
      <w:keepLines/>
      <w:keepNext/>
      <w:spacing w:after="200" w:before="320"/>
      <w:outlineLvl w:val="6"/>
    </w:pPr>
  </w:style>
  <w:style w:type="paragraph" w:styleId="494">
    <w:name w:val="Heading 8"/>
    <w:link w:val="516"/>
    <w:qFormat/>
    <w:uiPriority w:val="9"/>
    <w:unhideWhenUsed/>
    <w:rPr>
      <w:rFonts w:ascii="Arial" w:hAnsi="Arial" w:cs="Arial" w:eastAsia="Arial"/>
      <w:i/>
      <w:iCs/>
      <w:sz w:val="22"/>
    </w:rPr>
    <w:pPr>
      <w:keepLines/>
      <w:keepNext/>
      <w:spacing w:after="200" w:before="320"/>
      <w:outlineLvl w:val="7"/>
    </w:pPr>
  </w:style>
  <w:style w:type="paragraph" w:styleId="495">
    <w:name w:val="Heading 9"/>
    <w:link w:val="51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96" w:default="1">
    <w:name w:val="Default Paragraph Font"/>
    <w:uiPriority w:val="1"/>
    <w:semiHidden/>
    <w:unhideWhenUsed/>
  </w:style>
  <w:style w:type="table" w:styleId="49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98" w:default="1">
    <w:name w:val="No List"/>
    <w:uiPriority w:val="99"/>
    <w:semiHidden/>
    <w:unhideWhenUsed/>
  </w:style>
  <w:style w:type="character" w:styleId="499" w:customStyle="1">
    <w:name w:val="Heading 1 Char"/>
    <w:basedOn w:val="496"/>
    <w:uiPriority w:val="9"/>
    <w:rPr>
      <w:rFonts w:ascii="Arial" w:hAnsi="Arial" w:cs="Arial" w:eastAsia="Arial"/>
      <w:sz w:val="40"/>
      <w:szCs w:val="40"/>
    </w:rPr>
  </w:style>
  <w:style w:type="character" w:styleId="500" w:customStyle="1">
    <w:name w:val="Heading 4 Char"/>
    <w:basedOn w:val="496"/>
    <w:uiPriority w:val="9"/>
    <w:rPr>
      <w:rFonts w:ascii="Arial" w:hAnsi="Arial" w:cs="Arial" w:eastAsia="Arial"/>
      <w:b/>
      <w:bCs/>
      <w:sz w:val="26"/>
      <w:szCs w:val="26"/>
    </w:rPr>
  </w:style>
  <w:style w:type="character" w:styleId="501" w:customStyle="1">
    <w:name w:val="Heading 5 Char"/>
    <w:basedOn w:val="496"/>
    <w:uiPriority w:val="9"/>
    <w:rPr>
      <w:rFonts w:ascii="Arial" w:hAnsi="Arial" w:cs="Arial" w:eastAsia="Arial"/>
      <w:b/>
      <w:bCs/>
      <w:sz w:val="24"/>
      <w:szCs w:val="24"/>
    </w:rPr>
  </w:style>
  <w:style w:type="character" w:styleId="502" w:customStyle="1">
    <w:name w:val="Heading 6 Char"/>
    <w:basedOn w:val="496"/>
    <w:uiPriority w:val="9"/>
    <w:rPr>
      <w:rFonts w:ascii="Arial" w:hAnsi="Arial" w:cs="Arial" w:eastAsia="Arial"/>
      <w:b/>
      <w:bCs/>
      <w:sz w:val="22"/>
      <w:szCs w:val="22"/>
    </w:rPr>
  </w:style>
  <w:style w:type="character" w:styleId="503" w:customStyle="1">
    <w:name w:val="Heading 7 Char"/>
    <w:basedOn w:val="49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504" w:customStyle="1">
    <w:name w:val="Heading 8 Char"/>
    <w:basedOn w:val="496"/>
    <w:uiPriority w:val="9"/>
    <w:rPr>
      <w:rFonts w:ascii="Arial" w:hAnsi="Arial" w:cs="Arial" w:eastAsia="Arial"/>
      <w:i/>
      <w:iCs/>
      <w:sz w:val="22"/>
      <w:szCs w:val="22"/>
    </w:rPr>
  </w:style>
  <w:style w:type="character" w:styleId="505" w:customStyle="1">
    <w:name w:val="Heading 9 Char"/>
    <w:basedOn w:val="496"/>
    <w:uiPriority w:val="9"/>
    <w:rPr>
      <w:rFonts w:ascii="Arial" w:hAnsi="Arial" w:cs="Arial" w:eastAsia="Arial"/>
      <w:i/>
      <w:iCs/>
      <w:sz w:val="21"/>
      <w:szCs w:val="21"/>
    </w:rPr>
  </w:style>
  <w:style w:type="character" w:styleId="506" w:customStyle="1">
    <w:name w:val="Subtitle Char"/>
    <w:basedOn w:val="496"/>
    <w:uiPriority w:val="11"/>
    <w:rPr>
      <w:sz w:val="24"/>
      <w:szCs w:val="24"/>
    </w:rPr>
  </w:style>
  <w:style w:type="character" w:styleId="507" w:customStyle="1">
    <w:name w:val="Quote Char"/>
    <w:uiPriority w:val="29"/>
    <w:rPr>
      <w:i/>
    </w:rPr>
  </w:style>
  <w:style w:type="character" w:styleId="508" w:customStyle="1">
    <w:name w:val="Intense Quote Char"/>
    <w:uiPriority w:val="30"/>
    <w:rPr>
      <w:i/>
    </w:rPr>
  </w:style>
  <w:style w:type="character" w:styleId="509" w:customStyle="1">
    <w:name w:val="Заголовок 1 Знак"/>
    <w:link w:val="487"/>
    <w:uiPriority w:val="9"/>
    <w:rPr>
      <w:rFonts w:ascii="Arial" w:hAnsi="Arial" w:cs="Arial" w:eastAsia="Arial"/>
      <w:sz w:val="40"/>
      <w:szCs w:val="40"/>
    </w:rPr>
  </w:style>
  <w:style w:type="character" w:styleId="510" w:customStyle="1">
    <w:name w:val="Heading 2 Char"/>
    <w:uiPriority w:val="9"/>
    <w:rPr>
      <w:rFonts w:ascii="Arial" w:hAnsi="Arial" w:cs="Arial" w:eastAsia="Arial"/>
      <w:sz w:val="34"/>
    </w:rPr>
  </w:style>
  <w:style w:type="character" w:styleId="511" w:customStyle="1">
    <w:name w:val="Heading 3 Char"/>
    <w:uiPriority w:val="9"/>
    <w:rPr>
      <w:rFonts w:ascii="Arial" w:hAnsi="Arial" w:cs="Arial" w:eastAsia="Arial"/>
      <w:sz w:val="30"/>
      <w:szCs w:val="30"/>
    </w:rPr>
  </w:style>
  <w:style w:type="character" w:styleId="512" w:customStyle="1">
    <w:name w:val="Заголовок 4 Знак"/>
    <w:link w:val="490"/>
    <w:uiPriority w:val="9"/>
    <w:rPr>
      <w:rFonts w:ascii="Arial" w:hAnsi="Arial" w:cs="Arial" w:eastAsia="Arial"/>
      <w:b/>
      <w:bCs/>
      <w:sz w:val="26"/>
      <w:szCs w:val="26"/>
    </w:rPr>
  </w:style>
  <w:style w:type="character" w:styleId="513" w:customStyle="1">
    <w:name w:val="Заголовок 5 Знак"/>
    <w:link w:val="491"/>
    <w:uiPriority w:val="9"/>
    <w:rPr>
      <w:rFonts w:ascii="Arial" w:hAnsi="Arial" w:cs="Arial" w:eastAsia="Arial"/>
      <w:b/>
      <w:bCs/>
      <w:sz w:val="24"/>
      <w:szCs w:val="24"/>
    </w:rPr>
  </w:style>
  <w:style w:type="character" w:styleId="514" w:customStyle="1">
    <w:name w:val="Заголовок 6 Знак"/>
    <w:link w:val="492"/>
    <w:uiPriority w:val="9"/>
    <w:rPr>
      <w:rFonts w:ascii="Arial" w:hAnsi="Arial" w:cs="Arial" w:eastAsia="Arial"/>
      <w:b/>
      <w:bCs/>
      <w:sz w:val="22"/>
      <w:szCs w:val="22"/>
    </w:rPr>
  </w:style>
  <w:style w:type="character" w:styleId="515" w:customStyle="1">
    <w:name w:val="Заголовок 7 Знак"/>
    <w:link w:val="49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516" w:customStyle="1">
    <w:name w:val="Заголовок 8 Знак"/>
    <w:link w:val="494"/>
    <w:uiPriority w:val="9"/>
    <w:rPr>
      <w:rFonts w:ascii="Arial" w:hAnsi="Arial" w:cs="Arial" w:eastAsia="Arial"/>
      <w:i/>
      <w:iCs/>
      <w:sz w:val="22"/>
      <w:szCs w:val="22"/>
    </w:rPr>
  </w:style>
  <w:style w:type="character" w:styleId="517" w:customStyle="1">
    <w:name w:val="Заголовок 9 Знак"/>
    <w:link w:val="495"/>
    <w:uiPriority w:val="9"/>
    <w:rPr>
      <w:rFonts w:ascii="Arial" w:hAnsi="Arial" w:cs="Arial" w:eastAsia="Arial"/>
      <w:i/>
      <w:iCs/>
      <w:sz w:val="21"/>
      <w:szCs w:val="21"/>
    </w:rPr>
  </w:style>
  <w:style w:type="paragraph" w:styleId="518">
    <w:name w:val="List Paragraph"/>
    <w:basedOn w:val="486"/>
    <w:pPr>
      <w:contextualSpacing w:val="true"/>
      <w:ind w:left="720"/>
      <w:widowControl w:val="off"/>
    </w:pPr>
  </w:style>
  <w:style w:type="paragraph" w:styleId="519">
    <w:name w:val="No Spacing"/>
    <w:rPr>
      <w:lang w:bidi="ar-SA" w:eastAsia="ru-RU"/>
    </w:rPr>
    <w:pPr>
      <w:widowControl w:val="off"/>
    </w:pPr>
  </w:style>
  <w:style w:type="paragraph" w:styleId="520">
    <w:name w:val="Title"/>
    <w:basedOn w:val="486"/>
    <w:link w:val="692"/>
    <w:rPr>
      <w:b/>
      <w:bCs/>
      <w:sz w:val="24"/>
      <w:szCs w:val="24"/>
      <w:lang w:val="en-US"/>
    </w:rPr>
    <w:pPr>
      <w:jc w:val="center"/>
    </w:pPr>
  </w:style>
  <w:style w:type="character" w:styleId="521" w:customStyle="1">
    <w:name w:val="Title Char"/>
    <w:uiPriority w:val="10"/>
    <w:rPr>
      <w:sz w:val="48"/>
      <w:szCs w:val="48"/>
    </w:rPr>
  </w:style>
  <w:style w:type="paragraph" w:styleId="522">
    <w:name w:val="Subtitle"/>
    <w:link w:val="523"/>
    <w:qFormat/>
    <w:uiPriority w:val="11"/>
    <w:rPr>
      <w:sz w:val="24"/>
      <w:szCs w:val="24"/>
    </w:rPr>
    <w:pPr>
      <w:spacing w:after="200" w:before="200"/>
    </w:pPr>
  </w:style>
  <w:style w:type="character" w:styleId="523" w:customStyle="1">
    <w:name w:val="Подзаголовок Знак"/>
    <w:link w:val="522"/>
    <w:uiPriority w:val="11"/>
    <w:rPr>
      <w:sz w:val="24"/>
      <w:szCs w:val="24"/>
    </w:rPr>
  </w:style>
  <w:style w:type="paragraph" w:styleId="524">
    <w:name w:val="Quote"/>
    <w:link w:val="525"/>
    <w:qFormat/>
    <w:uiPriority w:val="29"/>
    <w:rPr>
      <w:i/>
    </w:rPr>
    <w:pPr>
      <w:ind w:left="720" w:right="720"/>
    </w:pPr>
  </w:style>
  <w:style w:type="character" w:styleId="525" w:customStyle="1">
    <w:name w:val="Цитата 2 Знак"/>
    <w:link w:val="524"/>
    <w:uiPriority w:val="29"/>
    <w:rPr>
      <w:i/>
    </w:rPr>
  </w:style>
  <w:style w:type="paragraph" w:styleId="526">
    <w:name w:val="Intense Quote"/>
    <w:link w:val="527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527" w:customStyle="1">
    <w:name w:val="Выделенная цитата Знак"/>
    <w:link w:val="526"/>
    <w:uiPriority w:val="30"/>
    <w:rPr>
      <w:i/>
    </w:rPr>
  </w:style>
  <w:style w:type="paragraph" w:styleId="528">
    <w:name w:val="Header"/>
    <w:basedOn w:val="486"/>
    <w:link w:val="699"/>
    <w:pPr>
      <w:tabs>
        <w:tab w:val="center" w:pos="4677" w:leader="none"/>
        <w:tab w:val="right" w:pos="9355" w:leader="none"/>
      </w:tabs>
    </w:pPr>
  </w:style>
  <w:style w:type="character" w:styleId="529" w:customStyle="1">
    <w:name w:val="Header Char"/>
    <w:uiPriority w:val="99"/>
  </w:style>
  <w:style w:type="paragraph" w:styleId="530">
    <w:name w:val="Footer"/>
    <w:basedOn w:val="486"/>
    <w:link w:val="700"/>
    <w:rPr>
      <w:lang w:val="en-US"/>
    </w:rPr>
    <w:pPr>
      <w:widowControl w:val="off"/>
      <w:tabs>
        <w:tab w:val="center" w:pos="4677" w:leader="none"/>
        <w:tab w:val="right" w:pos="9355" w:leader="none"/>
      </w:tabs>
    </w:pPr>
  </w:style>
  <w:style w:type="character" w:styleId="531" w:customStyle="1">
    <w:name w:val="Footer Char"/>
    <w:uiPriority w:val="99"/>
  </w:style>
  <w:style w:type="paragraph" w:styleId="532">
    <w:name w:val="Caption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533" w:customStyle="1">
    <w:name w:val="Caption Char"/>
    <w:uiPriority w:val="99"/>
  </w:style>
  <w:style w:type="table" w:styleId="534">
    <w:name w:val="Table Grid"/>
    <w:basedOn w:val="497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535" w:customStyle="1">
    <w:name w:val="Table Grid Light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36" w:customStyle="1">
    <w:name w:val="Plain Table 1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37" w:customStyle="1">
    <w:name w:val="Plain Table 2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38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9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0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41" w:customStyle="1">
    <w:name w:val="Grid Table 1 Light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2" w:customStyle="1">
    <w:name w:val="Grid Table 1 Light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3" w:customStyle="1">
    <w:name w:val="Grid Table 1 Light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4" w:customStyle="1">
    <w:name w:val="Grid Table 1 Light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5" w:customStyle="1">
    <w:name w:val="Grid Table 1 Light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6" w:customStyle="1">
    <w:name w:val="Grid Table 1 Light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7" w:customStyle="1">
    <w:name w:val="Grid Table 1 Light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8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49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550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51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52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53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54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55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6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7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8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9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60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61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62" w:customStyle="1">
    <w:name w:val="Grid Table 4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63" w:customStyle="1">
    <w:name w:val="Grid Table 4 - Accent 1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564" w:customStyle="1">
    <w:name w:val="Grid Table 4 - Accent 2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565" w:customStyle="1">
    <w:name w:val="Grid Table 4 - Accent 3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566" w:customStyle="1">
    <w:name w:val="Grid Table 4 - Accent 4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567" w:customStyle="1">
    <w:name w:val="Grid Table 4 - Accent 5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568" w:customStyle="1">
    <w:name w:val="Grid Table 4 - Accent 6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569" w:customStyle="1">
    <w:name w:val="Grid Table 5 Dark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570" w:customStyle="1">
    <w:name w:val="Grid Table 5 Dark- Accent 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571" w:customStyle="1">
    <w:name w:val="Grid Table 5 Dark - Accent 2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572" w:customStyle="1">
    <w:name w:val="Grid Table 5 Dark - Accent 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573" w:customStyle="1">
    <w:name w:val="Grid Table 5 Dark- Accent 4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574" w:customStyle="1">
    <w:name w:val="Grid Table 5 Dark - Accent 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575" w:customStyle="1">
    <w:name w:val="Grid Table 5 Dark - Accent 6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576" w:customStyle="1">
    <w:name w:val="Grid Table 6 Colorful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577" w:customStyle="1">
    <w:name w:val="Grid Table 6 Colorful - Accent 1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578" w:customStyle="1">
    <w:name w:val="Grid Table 6 Colorful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579" w:customStyle="1">
    <w:name w:val="Grid Table 6 Colorful - Accent 3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580" w:customStyle="1">
    <w:name w:val="Grid Table 6 Colorful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581" w:customStyle="1">
    <w:name w:val="Grid Table 6 Colorful - Accent 5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82" w:customStyle="1">
    <w:name w:val="Grid Table 6 Colorful - Accent 6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83" w:customStyle="1">
    <w:name w:val="Grid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84" w:customStyle="1">
    <w:name w:val="Grid Table 7 Colorful - Accent 1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85" w:customStyle="1">
    <w:name w:val="Grid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86" w:customStyle="1">
    <w:name w:val="Grid Table 7 Colorful - Accent 3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87" w:customStyle="1">
    <w:name w:val="Grid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88" w:customStyle="1">
    <w:name w:val="Grid Table 7 Colorful - Accent 5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89" w:customStyle="1">
    <w:name w:val="Grid Table 7 Colorful - Accent 6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90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91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92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93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94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95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96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97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98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99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600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601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602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603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604" w:customStyle="1">
    <w:name w:val="List Table 3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5" w:customStyle="1">
    <w:name w:val="List Table 3 - Accent 1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6" w:customStyle="1">
    <w:name w:val="List Table 3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7" w:customStyle="1">
    <w:name w:val="List Table 3 - Accent 3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8" w:customStyle="1">
    <w:name w:val="List Table 3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9" w:customStyle="1">
    <w:name w:val="List Table 3 - Accent 5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0" w:customStyle="1">
    <w:name w:val="List Table 3 - Accent 6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1" w:customStyle="1">
    <w:name w:val="List Table 4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2" w:customStyle="1">
    <w:name w:val="List Table 4 - Accent 1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3" w:customStyle="1">
    <w:name w:val="List Table 4 - Accent 2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4" w:customStyle="1">
    <w:name w:val="List Table 4 - Accent 3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5" w:customStyle="1">
    <w:name w:val="List Table 4 - Accent 4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6" w:customStyle="1">
    <w:name w:val="List Table 4 - Accent 5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7" w:customStyle="1">
    <w:name w:val="List Table 4 - Accent 6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8" w:customStyle="1">
    <w:name w:val="List Table 5 Dark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19" w:customStyle="1">
    <w:name w:val="List Table 5 Dark - Accent 1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0" w:customStyle="1">
    <w:name w:val="List Table 5 Dark - Accent 2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1" w:customStyle="1">
    <w:name w:val="List Table 5 Dark - Accent 3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2" w:customStyle="1">
    <w:name w:val="List Table 5 Dark - Accent 4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3" w:customStyle="1">
    <w:name w:val="List Table 5 Dark - Accent 5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4" w:customStyle="1">
    <w:name w:val="List Table 5 Dark - Accent 6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5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626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627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628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629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630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631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632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633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634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5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636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37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638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639" w:customStyle="1">
    <w:name w:val="Lined - Accent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640" w:customStyle="1">
    <w:name w:val="Lined - Accent 1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641" w:customStyle="1">
    <w:name w:val="Lined - Accent 2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642" w:customStyle="1">
    <w:name w:val="Lined - Accent 3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643" w:customStyle="1">
    <w:name w:val="Lined - Accent 4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644" w:customStyle="1">
    <w:name w:val="Lined - Accent 5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645" w:customStyle="1">
    <w:name w:val="Lined - Accent 6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646" w:customStyle="1">
    <w:name w:val="Bordered &amp; Lined - Accent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647" w:customStyle="1">
    <w:name w:val="Bordered &amp; Lined - Accent 1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648" w:customStyle="1">
    <w:name w:val="Bordered &amp; Lined - Accent 2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649" w:customStyle="1">
    <w:name w:val="Bordered &amp; Lined - Accent 3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650" w:customStyle="1">
    <w:name w:val="Bordered &amp; Lined - Accent 4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651" w:customStyle="1">
    <w:name w:val="Bordered &amp; Lined - Accent 5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652" w:customStyle="1">
    <w:name w:val="Bordered &amp; Lined - Accent 6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653" w:customStyle="1">
    <w:name w:val="Bordered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654" w:customStyle="1">
    <w:name w:val="Bordered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655" w:customStyle="1">
    <w:name w:val="Bordered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656" w:customStyle="1">
    <w:name w:val="Bordered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657" w:customStyle="1">
    <w:name w:val="Bordered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658" w:customStyle="1">
    <w:name w:val="Bordered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659" w:customStyle="1">
    <w:name w:val="Bordered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660">
    <w:name w:val="Hyperlink"/>
    <w:rPr>
      <w:color w:val="0000FF"/>
      <w:u w:val="single"/>
    </w:rPr>
  </w:style>
  <w:style w:type="paragraph" w:styleId="661">
    <w:name w:val="footnote text"/>
    <w:basedOn w:val="486"/>
    <w:link w:val="701"/>
    <w:pPr>
      <w:ind w:firstLine="720"/>
      <w:jc w:val="both"/>
    </w:pPr>
  </w:style>
  <w:style w:type="character" w:styleId="662" w:customStyle="1">
    <w:name w:val="Footnote Text Char"/>
    <w:uiPriority w:val="99"/>
    <w:rPr>
      <w:sz w:val="18"/>
    </w:rPr>
  </w:style>
  <w:style w:type="character" w:styleId="663">
    <w:name w:val="footnote reference"/>
    <w:rPr>
      <w:vertAlign w:val="superscript"/>
    </w:rPr>
  </w:style>
  <w:style w:type="paragraph" w:styleId="664">
    <w:name w:val="toc 1"/>
    <w:uiPriority w:val="39"/>
    <w:unhideWhenUsed/>
    <w:pPr>
      <w:spacing w:after="57"/>
    </w:pPr>
  </w:style>
  <w:style w:type="paragraph" w:styleId="665">
    <w:name w:val="toc 2"/>
    <w:uiPriority w:val="39"/>
    <w:unhideWhenUsed/>
    <w:pPr>
      <w:ind w:left="283"/>
      <w:spacing w:after="57"/>
    </w:pPr>
  </w:style>
  <w:style w:type="paragraph" w:styleId="666">
    <w:name w:val="toc 3"/>
    <w:uiPriority w:val="39"/>
    <w:unhideWhenUsed/>
    <w:pPr>
      <w:ind w:left="567"/>
      <w:spacing w:after="57"/>
    </w:pPr>
  </w:style>
  <w:style w:type="paragraph" w:styleId="667">
    <w:name w:val="toc 4"/>
    <w:uiPriority w:val="39"/>
    <w:unhideWhenUsed/>
    <w:pPr>
      <w:ind w:left="850"/>
      <w:spacing w:after="57"/>
    </w:pPr>
  </w:style>
  <w:style w:type="paragraph" w:styleId="668">
    <w:name w:val="toc 5"/>
    <w:uiPriority w:val="39"/>
    <w:unhideWhenUsed/>
    <w:pPr>
      <w:ind w:left="1134"/>
      <w:spacing w:after="57"/>
    </w:pPr>
  </w:style>
  <w:style w:type="paragraph" w:styleId="669">
    <w:name w:val="toc 6"/>
    <w:uiPriority w:val="39"/>
    <w:unhideWhenUsed/>
    <w:pPr>
      <w:ind w:left="1417"/>
      <w:spacing w:after="57"/>
    </w:pPr>
  </w:style>
  <w:style w:type="paragraph" w:styleId="670">
    <w:name w:val="toc 7"/>
    <w:uiPriority w:val="39"/>
    <w:unhideWhenUsed/>
    <w:pPr>
      <w:ind w:left="1701"/>
      <w:spacing w:after="57"/>
    </w:pPr>
  </w:style>
  <w:style w:type="paragraph" w:styleId="671">
    <w:name w:val="toc 8"/>
    <w:uiPriority w:val="39"/>
    <w:unhideWhenUsed/>
    <w:pPr>
      <w:ind w:left="1984"/>
      <w:spacing w:after="57"/>
    </w:pPr>
  </w:style>
  <w:style w:type="paragraph" w:styleId="672">
    <w:name w:val="toc 9"/>
    <w:uiPriority w:val="39"/>
    <w:unhideWhenUsed/>
    <w:pPr>
      <w:ind w:left="2268"/>
      <w:spacing w:after="57"/>
    </w:pPr>
  </w:style>
  <w:style w:type="paragraph" w:styleId="673">
    <w:name w:val="TOC Heading"/>
    <w:uiPriority w:val="39"/>
    <w:unhideWhenUsed/>
  </w:style>
  <w:style w:type="paragraph" w:styleId="674">
    <w:name w:val="Body Text"/>
    <w:basedOn w:val="486"/>
    <w:link w:val="682"/>
    <w:rPr>
      <w:sz w:val="28"/>
      <w:szCs w:val="24"/>
    </w:rPr>
    <w:pPr>
      <w:ind w:firstLine="720"/>
      <w:jc w:val="both"/>
      <w:spacing w:lineRule="auto" w:line="360"/>
    </w:pPr>
  </w:style>
  <w:style w:type="paragraph" w:styleId="675" w:customStyle="1">
    <w:name w:val="Содержимое таблицы"/>
    <w:basedOn w:val="486"/>
    <w:rPr>
      <w:lang w:eastAsia="ar-SA"/>
    </w:rPr>
    <w:pPr>
      <w:widowControl w:val="off"/>
    </w:pPr>
  </w:style>
  <w:style w:type="paragraph" w:styleId="676" w:customStyle="1">
    <w:name w:val="Знак"/>
    <w:basedOn w:val="486"/>
    <w:rPr>
      <w:lang w:val="en-GB"/>
    </w:rPr>
    <w:pPr>
      <w:jc w:val="right"/>
      <w:spacing w:lineRule="exact" w:line="240" w:after="160"/>
      <w:widowControl w:val="off"/>
    </w:pPr>
  </w:style>
  <w:style w:type="paragraph" w:styleId="677">
    <w:name w:val="Body Text Indent"/>
    <w:basedOn w:val="486"/>
    <w:pPr>
      <w:ind w:left="283"/>
      <w:spacing w:after="120"/>
      <w:widowControl w:val="off"/>
    </w:pPr>
  </w:style>
  <w:style w:type="paragraph" w:styleId="678" w:customStyle="1">
    <w:name w:val="ConsPlusTitle"/>
    <w:rPr>
      <w:rFonts w:ascii="Arial" w:hAnsi="Arial"/>
      <w:b/>
      <w:bCs/>
      <w:lang w:bidi="ar-SA" w:eastAsia="ru-RU"/>
    </w:rPr>
    <w:pPr>
      <w:widowControl w:val="off"/>
    </w:pPr>
  </w:style>
  <w:style w:type="character" w:styleId="679" w:customStyle="1">
    <w:name w:val="Гипертекстовая ссылка"/>
    <w:rPr>
      <w:color w:val="008000"/>
    </w:rPr>
  </w:style>
  <w:style w:type="paragraph" w:styleId="680">
    <w:name w:val="List"/>
    <w:basedOn w:val="674"/>
    <w:rPr>
      <w:rFonts w:ascii="Arial" w:hAnsi="Arial"/>
      <w:sz w:val="24"/>
      <w:lang w:eastAsia="ar-SA"/>
    </w:rPr>
    <w:pPr>
      <w:jc w:val="left"/>
      <w:spacing w:after="120"/>
    </w:pPr>
  </w:style>
  <w:style w:type="character" w:styleId="681">
    <w:name w:val="page number"/>
    <w:basedOn w:val="496"/>
  </w:style>
  <w:style w:type="character" w:styleId="682" w:customStyle="1">
    <w:name w:val="Основной текст Знак"/>
    <w:link w:val="674"/>
    <w:rPr>
      <w:sz w:val="28"/>
      <w:szCs w:val="24"/>
      <w:lang w:val="ru-RU" w:bidi="ar-SA" w:eastAsia="ru-RU"/>
    </w:rPr>
  </w:style>
  <w:style w:type="paragraph" w:styleId="683" w:customStyle="1">
    <w:name w:val="Char"/>
    <w:basedOn w:val="486"/>
    <w:rPr>
      <w:rFonts w:ascii="Arial" w:hAnsi="Arial"/>
      <w:lang w:val="fr-FR"/>
    </w:rPr>
    <w:pPr>
      <w:spacing w:lineRule="exact" w:line="240" w:after="160"/>
    </w:pPr>
  </w:style>
  <w:style w:type="paragraph" w:styleId="684" w:customStyle="1">
    <w:name w:val="ConsPlusNonformat"/>
    <w:rPr>
      <w:rFonts w:ascii="Courier New" w:hAnsi="Courier New"/>
      <w:lang w:bidi="ar-SA" w:eastAsia="ru-RU"/>
    </w:rPr>
  </w:style>
  <w:style w:type="paragraph" w:styleId="685">
    <w:name w:val="endnote text"/>
    <w:basedOn w:val="486"/>
    <w:link w:val="686"/>
    <w:semiHidden/>
    <w:pPr>
      <w:widowControl w:val="off"/>
    </w:pPr>
  </w:style>
  <w:style w:type="character" w:styleId="686" w:customStyle="1">
    <w:name w:val="Текст концевой сноски Знак"/>
    <w:link w:val="685"/>
    <w:rPr>
      <w:lang w:val="ru-RU" w:bidi="ar-SA" w:eastAsia="ru-RU"/>
    </w:rPr>
  </w:style>
  <w:style w:type="paragraph" w:styleId="687" w:customStyle="1">
    <w:name w:val="Знак Знак Знак Знак Знак Знак Знак"/>
    <w:basedOn w:val="486"/>
    <w:rPr>
      <w:rFonts w:eastAsia="Calibri"/>
      <w:lang w:eastAsia="zh-CN"/>
    </w:rPr>
    <w:pPr>
      <w:spacing w:lineRule="exact" w:line="240" w:after="160"/>
    </w:pPr>
  </w:style>
  <w:style w:type="paragraph" w:styleId="688">
    <w:name w:val="Balloon Text"/>
    <w:basedOn w:val="486"/>
    <w:link w:val="693"/>
    <w:semiHidden/>
    <w:rPr>
      <w:rFonts w:ascii="Tahoma" w:hAnsi="Tahoma"/>
      <w:sz w:val="16"/>
      <w:szCs w:val="16"/>
    </w:rPr>
  </w:style>
  <w:style w:type="paragraph" w:styleId="689" w:customStyle="1">
    <w:name w:val="ConsPlusNormal"/>
    <w:rPr>
      <w:rFonts w:ascii="Arial" w:hAnsi="Arial"/>
      <w:lang w:bidi="ar-SA" w:eastAsia="ru-RU"/>
    </w:rPr>
    <w:pPr>
      <w:widowControl w:val="off"/>
    </w:pPr>
  </w:style>
  <w:style w:type="character" w:styleId="690" w:customStyle="1">
    <w:name w:val="Заголовок 3 Знак"/>
    <w:link w:val="489"/>
    <w:rPr>
      <w:b/>
      <w:sz w:val="40"/>
      <w:lang w:val="en-US"/>
    </w:rPr>
  </w:style>
  <w:style w:type="numbering" w:styleId="691" w:customStyle="1">
    <w:name w:val="Нет списка1"/>
    <w:next w:val="498"/>
    <w:semiHidden/>
  </w:style>
  <w:style w:type="character" w:styleId="692" w:customStyle="1">
    <w:name w:val="Название Знак"/>
    <w:link w:val="520"/>
    <w:rPr>
      <w:b/>
      <w:bCs/>
      <w:sz w:val="24"/>
      <w:szCs w:val="24"/>
      <w:lang w:val="en-US"/>
    </w:rPr>
  </w:style>
  <w:style w:type="character" w:styleId="693" w:customStyle="1">
    <w:name w:val="Текст выноски Знак"/>
    <w:link w:val="688"/>
    <w:semiHidden/>
    <w:rPr>
      <w:rFonts w:ascii="Tahoma" w:hAnsi="Tahoma"/>
      <w:sz w:val="16"/>
      <w:szCs w:val="16"/>
    </w:rPr>
  </w:style>
  <w:style w:type="table" w:styleId="694" w:customStyle="1">
    <w:name w:val="Сетка таблицы1"/>
    <w:basedOn w:val="497"/>
    <w:next w:val="534"/>
    <w:rPr>
      <w:rFonts w:ascii="Calibri" w:hAnsi="Calibri" w:eastAsia="Calibri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695" w:customStyle="1">
    <w:name w:val="ConsPlusCell"/>
    <w:rPr>
      <w:rFonts w:ascii="Arial" w:hAnsi="Arial" w:eastAsia="Calibri"/>
      <w:lang w:bidi="ar-SA" w:eastAsia="ru-RU"/>
    </w:rPr>
  </w:style>
  <w:style w:type="paragraph" w:styleId="696" w:customStyle="1">
    <w:name w:val="Default"/>
    <w:rPr>
      <w:rFonts w:eastAsia="Calibri"/>
      <w:color w:val="000000"/>
      <w:sz w:val="24"/>
      <w:szCs w:val="24"/>
      <w:lang w:bidi="ar-SA" w:eastAsia="ru-RU"/>
    </w:rPr>
  </w:style>
  <w:style w:type="paragraph" w:styleId="697" w:customStyle="1">
    <w:name w:val="Char"/>
    <w:basedOn w:val="486"/>
    <w:rPr>
      <w:rFonts w:ascii="Arial" w:hAnsi="Arial"/>
      <w:lang w:val="fr-FR"/>
    </w:rPr>
    <w:pPr>
      <w:spacing w:lineRule="exact" w:line="240" w:after="160"/>
    </w:pPr>
  </w:style>
  <w:style w:type="table" w:styleId="698" w:customStyle="1">
    <w:name w:val="Сетка таблицы11"/>
    <w:basedOn w:val="497"/>
    <w:next w:val="534"/>
    <w:rPr>
      <w:rFonts w:ascii="Calibri" w:hAnsi="Calibri" w:eastAsia="Calibri"/>
      <w:sz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character" w:styleId="699" w:customStyle="1">
    <w:name w:val="Верхний колонтитул Знак"/>
    <w:link w:val="528"/>
  </w:style>
  <w:style w:type="character" w:styleId="700" w:customStyle="1">
    <w:name w:val="Нижний колонтитул Знак"/>
    <w:link w:val="530"/>
    <w:rPr>
      <w:lang w:val="en-US" w:eastAsia="en-US"/>
    </w:rPr>
  </w:style>
  <w:style w:type="character" w:styleId="701" w:customStyle="1">
    <w:name w:val="Текст сноски Знак"/>
    <w:link w:val="661"/>
    <w:rPr>
      <w:lang w:eastAsia="en-US"/>
    </w:rPr>
  </w:style>
  <w:style w:type="character" w:styleId="702" w:customStyle="1">
    <w:name w:val="Текст сноски Знак1"/>
    <w:basedOn w:val="496"/>
  </w:style>
  <w:style w:type="character" w:styleId="703" w:customStyle="1">
    <w:name w:val="s0"/>
    <w:rPr>
      <w:rFonts w:ascii="Times New Roman" w:hAnsi="Times New Roman"/>
      <w:color w:val="000000"/>
      <w:sz w:val="20"/>
      <w:szCs w:val="20"/>
      <w:u w:val="none"/>
    </w:rPr>
  </w:style>
  <w:style w:type="paragraph" w:styleId="704">
    <w:name w:val="HTML Preformatted"/>
    <w:basedOn w:val="486"/>
    <w:link w:val="705"/>
    <w:rPr>
      <w:rFonts w:ascii="Courier New" w:hAnsi="Courier New"/>
      <w:lang w:val="en-US"/>
    </w:rPr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</w:style>
  <w:style w:type="character" w:styleId="705" w:customStyle="1">
    <w:name w:val="Стандартный HTML Знак"/>
    <w:link w:val="704"/>
    <w:rPr>
      <w:rFonts w:ascii="Courier New" w:hAnsi="Courier New"/>
      <w:lang w:val="en-US" w:eastAsia="en-US"/>
    </w:rPr>
  </w:style>
  <w:style w:type="table" w:styleId="706" w:customStyle="1">
    <w:name w:val="Сетка таблицы2"/>
    <w:basedOn w:val="497"/>
    <w:next w:val="534"/>
    <w:rPr>
      <w:rFonts w:ascii="Calibri" w:hAnsi="Calibri" w:eastAsia="Calibri"/>
      <w:sz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07" w:customStyle="1">
    <w:name w:val="Сетка таблицы3"/>
    <w:basedOn w:val="497"/>
    <w:next w:val="534"/>
    <w:rPr>
      <w:rFonts w:ascii="Calibri" w:hAnsi="Calibri" w:eastAsia="Calibri"/>
      <w:sz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08" w:customStyle="1">
    <w:name w:val="Сетка таблицы4"/>
    <w:basedOn w:val="497"/>
    <w:next w:val="534"/>
    <w:rPr>
      <w:rFonts w:ascii="Calibri" w:hAnsi="Calibri" w:eastAsia="Calibri"/>
      <w:sz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09" w:customStyle="1">
    <w:name w:val="Сетка таблицы41"/>
    <w:basedOn w:val="497"/>
    <w:next w:val="534"/>
    <w:rPr>
      <w:rFonts w:ascii="Calibri" w:hAnsi="Calibri" w:eastAsia="Calibri"/>
      <w:sz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character" w:styleId="710" w:customStyle="1">
    <w:name w:val="Заголовок 2 Знак"/>
    <w:link w:val="488"/>
    <w:rPr>
      <w:rFonts w:ascii="Cambria" w:hAnsi="Cambria" w:eastAsia="Times New Roman"/>
      <w:b/>
      <w:bCs/>
      <w:i/>
      <w:iCs/>
      <w:sz w:val="28"/>
      <w:szCs w:val="28"/>
    </w:rPr>
  </w:style>
  <w:style w:type="paragraph" w:styleId="711" w:customStyle="1">
    <w:name w:val="Стиль24"/>
    <w:rPr>
      <w:sz w:val="28"/>
      <w:szCs w:val="28"/>
    </w:rPr>
    <w:pPr>
      <w:ind w:firstLine="720"/>
      <w:jc w:val="both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yperlink" Target="https://login.consultant.ru/link/?req=doc&amp;base=LAW&amp;n=523250&amp;date=15.01.2026&amp;dst=100010&amp;field=134" TargetMode="External"/><Relationship Id="rId11" Type="http://schemas.openxmlformats.org/officeDocument/2006/relationships/hyperlink" Target="https://login.consultant.ru/link/?req=doc&amp;base=SPB&amp;n=301402&amp;date=15.01.2026&amp;dst=5&amp;field=134" TargetMode="External"/><Relationship Id="rId12" Type="http://schemas.openxmlformats.org/officeDocument/2006/relationships/hyperlink" Target="https://login.consultant.ru/link/?req=doc&amp;base=SPB&amp;n=301402&amp;date=15.01.2026&amp;dst=5&amp;field=134" TargetMode="External"/><Relationship Id="rId13" Type="http://schemas.openxmlformats.org/officeDocument/2006/relationships/hyperlink" Target="https://login.consultant.ru/link/?req=doc&amp;base=SPB&amp;n=301402&amp;date=15.01.2026&amp;dst=5&amp;field=134" TargetMode="External"/><Relationship Id="rId14" Type="http://schemas.openxmlformats.org/officeDocument/2006/relationships/hyperlink" Target="https://login.consultant.ru/link/?req=doc&amp;base=SPB&amp;n=301402&amp;date=15.01.2026&amp;dst=5&amp;field=134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9</cp:revision>
  <dcterms:created xsi:type="dcterms:W3CDTF">2026-05-26T06:38:00Z</dcterms:created>
  <dcterms:modified xsi:type="dcterms:W3CDTF">2026-05-29T14:01:11Z</dcterms:modified>
</cp:coreProperties>
</file>