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536"/>
        <w:jc w:val="center"/>
        <w:rPr>
          <w:sz w:val="28"/>
          <w:szCs w:val="28"/>
        </w:rPr>
      </w:pPr>
      <w:r/>
      <w:bookmarkStart w:id="0" w:name="sub_100"/>
      <w:r>
        <w:rPr>
          <w:sz w:val="28"/>
          <w:szCs w:val="28"/>
        </w:rPr>
        <w:t xml:space="preserve">Утверждена </w:t>
      </w:r>
      <w:r/>
    </w:p>
    <w:p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сельского хозяйства Пензенской области</w:t>
      </w:r>
      <w:r/>
    </w:p>
    <w:p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__________ № __________</w:t>
      </w:r>
      <w:r/>
    </w:p>
    <w:p>
      <w:pPr>
        <w:pStyle w:val="412"/>
        <w:jc w:val="right"/>
        <w:rPr>
          <w:b w:val="false"/>
          <w:sz w:val="28"/>
          <w:szCs w:val="28"/>
          <w:highlight w:val="white"/>
        </w:rPr>
      </w:pPr>
      <w:r>
        <w:rPr>
          <w:b w:val="false"/>
          <w:sz w:val="28"/>
          <w:szCs w:val="28"/>
          <w:highlight w:val="white"/>
        </w:rPr>
        <w:t xml:space="preserve">Форма</w:t>
      </w:r>
      <w:r/>
    </w:p>
    <w:p>
      <w:pPr>
        <w:jc w:val="center"/>
      </w:pPr>
      <w:r>
        <w:rPr>
          <w:b/>
          <w:sz w:val="28"/>
          <w:szCs w:val="28"/>
          <w:highlight w:val="white"/>
        </w:rPr>
        <w:t xml:space="preserve">Проверочный лист</w:t>
      </w:r>
      <w:r>
        <w:rPr>
          <w:sz w:val="28"/>
          <w:szCs w:val="28"/>
          <w:highlight w:val="white"/>
        </w:rPr>
        <w:br/>
        <w:t xml:space="preserve"> (список контрольных вопросов, ответы на которые свидетельствуют о соблюдении или несоблюдении контролируем</w:t>
      </w:r>
      <w:r>
        <w:rPr>
          <w:sz w:val="28"/>
          <w:szCs w:val="28"/>
          <w:highlight w:val="white"/>
        </w:rPr>
        <w:t xml:space="preserve">ым лицом обязательных требований), используемый при осуществлении регионального государственного контроля (надзора) за соблюдением лицензионных требований в области розничной продажи алкогольной и спиртосодержащей продукции на территории Пензенской области</w:t>
      </w:r>
      <w:r>
        <w:rPr>
          <w:sz w:val="28"/>
          <w:szCs w:val="28"/>
        </w:rPr>
        <w:br/>
      </w:r>
      <w:bookmarkEnd w:id="0"/>
      <w:r/>
      <w:r/>
    </w:p>
    <w:p>
      <w:pPr>
        <w:rPr>
          <w:strike/>
        </w:rPr>
      </w:pPr>
      <w:r>
        <w:rPr>
          <w:strike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5662295</wp:posOffset>
                </wp:positionH>
                <wp:positionV relativeFrom="paragraph">
                  <wp:posOffset>90170</wp:posOffset>
                </wp:positionV>
                <wp:extent cx="882650" cy="636270"/>
                <wp:effectExtent l="0" t="0" r="0" b="0"/>
                <wp:wrapNone/>
                <wp:docPr id="1" name="Rectangle 2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0" cy="63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ind w:firstLine="0"/>
                              <w:jc w:val="center"/>
                            </w:pPr>
                            <w:r/>
                            <w:r/>
                          </w:p>
                          <w:p>
                            <w:pPr>
                              <w:ind w:firstLine="0"/>
                              <w:jc w:val="center"/>
                            </w:pPr>
                            <w:r>
                              <w:rPr>
                                <w:highlight w:val="white"/>
                                <w:lang w:val="en-US"/>
                              </w:rPr>
                              <w:t xml:space="preserve">QR</w:t>
                            </w:r>
                            <w:r>
                              <w:rPr>
                                <w:highlight w:val="white"/>
                              </w:rPr>
                              <w:t xml:space="preserve">-</w:t>
                            </w:r>
                            <w:r>
                              <w:t xml:space="preserve">код</w:t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1" style="position:absolute;mso-wrap-distance-left:9.0pt;mso-wrap-distance-top:0.0pt;mso-wrap-distance-right:9.0pt;mso-wrap-distance-bottom:0.0pt;z-index:251658240;o:allowoverlap:true;o:allowincell:true;mso-position-horizontal-relative:text;margin-left:445.8pt;mso-position-horizontal:absolute;mso-position-vertical-relative:text;margin-top:7.1pt;mso-position-vertical:absolute;width:69.5pt;height:50.1pt;v-text-anchor:top;" coordsize="100000,100000" path="" fillcolor="#FFFFFF" strokecolor="#000000" strokeweight="0.75pt">
                <v:path textboxrect="0,0,0,0"/>
                <v:textbox>
                  <w:txbxContent>
                    <w:p>
                      <w:pPr>
                        <w:ind w:firstLine="0"/>
                        <w:jc w:val="center"/>
                      </w:pPr>
                      <w:r/>
                      <w:r/>
                    </w:p>
                    <w:p>
                      <w:pPr>
                        <w:ind w:firstLine="0"/>
                        <w:jc w:val="center"/>
                      </w:pPr>
                      <w:r>
                        <w:rPr>
                          <w:highlight w:val="white"/>
                          <w:lang w:val="en-US"/>
                        </w:rPr>
                        <w:t xml:space="preserve">QR</w:t>
                      </w:r>
                      <w:r>
                        <w:rPr>
                          <w:highlight w:val="white"/>
                        </w:rPr>
                        <w:t xml:space="preserve">-</w:t>
                      </w:r>
                      <w:r>
                        <w:t xml:space="preserve">код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jc w:val="right"/>
      </w:pPr>
      <w:r/>
      <w:r/>
    </w:p>
    <w:p>
      <w:r/>
      <w:r/>
    </w:p>
    <w:p>
      <w:pPr>
        <w:rPr>
          <w:highlight w:val="white"/>
        </w:rPr>
      </w:pPr>
      <w:r>
        <w:rPr>
          <w:highlight w:val="white"/>
        </w:rPr>
      </w:r>
      <w:r/>
    </w:p>
    <w:p>
      <w:pPr>
        <w:numPr>
          <w:ilvl w:val="0"/>
          <w:numId w:val="2"/>
        </w:numPr>
        <w:ind w:left="0" w:firstLine="720"/>
        <w:rPr>
          <w:highlight w:val="white"/>
        </w:rPr>
      </w:pPr>
      <w:r/>
      <w:bookmarkStart w:id="1" w:name="sub_101"/>
      <w:r>
        <w:rPr>
          <w:highlight w:val="white"/>
        </w:rPr>
        <w:t xml:space="preserve">Наименование вида контроля, включенного в единый реестр видов регионального государственного контроля (надзора): региональный государственный контроль (надзор) в области розничной продажи алкогольной и спиртосодержащей продукции.</w:t>
      </w:r>
      <w:r/>
    </w:p>
    <w:p>
      <w:pPr>
        <w:numPr>
          <w:ilvl w:val="0"/>
          <w:numId w:val="2"/>
        </w:numPr>
        <w:ind w:left="0" w:firstLine="720"/>
        <w:rPr>
          <w:highlight w:val="white"/>
        </w:rPr>
      </w:pPr>
      <w:r>
        <w:rPr>
          <w:highlight w:val="white"/>
        </w:rPr>
        <w:t xml:space="preserve">Наименование контрольного (надзорного) органа: </w:t>
      </w:r>
      <w:bookmarkEnd w:id="1"/>
      <w:r>
        <w:rPr>
          <w:highlight w:val="white"/>
        </w:rPr>
        <w:t xml:space="preserve">Министерство сельского хозяйства Пензенской области (далее - Министерство).</w:t>
      </w:r>
      <w:r/>
    </w:p>
    <w:p>
      <w:pPr>
        <w:numPr>
          <w:ilvl w:val="0"/>
          <w:numId w:val="2"/>
        </w:numPr>
        <w:ind w:left="0" w:firstLine="720"/>
        <w:rPr>
          <w:highlight w:val="white"/>
        </w:rPr>
      </w:pPr>
      <w:r>
        <w:rPr>
          <w:highlight w:val="white"/>
        </w:rPr>
        <w:t xml:space="preserve">Реквизиты нормативного правового акта, утверждающего форму проверочного листа:                                                                     приказ Министерства  сельского  хозяйства  Пензенской  области </w:t>
      </w:r>
      <w:r>
        <w:rPr>
          <w:highlight w:val="white"/>
        </w:rPr>
        <w:t xml:space="preserve">от</w:t>
      </w:r>
      <w:r>
        <w:rPr>
          <w:highlight w:val="white"/>
        </w:rPr>
        <w:t xml:space="preserve"> ____________ № ________.</w:t>
      </w:r>
      <w:r/>
    </w:p>
    <w:p>
      <w:pPr>
        <w:numPr>
          <w:ilvl w:val="0"/>
          <w:numId w:val="2"/>
        </w:numPr>
        <w:ind w:left="0" w:firstLine="720"/>
        <w:rPr>
          <w:highlight w:val="white"/>
        </w:rPr>
      </w:pPr>
      <w:r/>
      <w:bookmarkStart w:id="2" w:name="sub_102"/>
      <w:r>
        <w:rPr>
          <w:highlight w:val="white"/>
        </w:rPr>
        <w:t xml:space="preserve">Вид контрольного (надзорного) мероприятия:</w:t>
      </w:r>
      <w:r/>
    </w:p>
    <w:p>
      <w:r>
        <w:t xml:space="preserve">__________________________________________________________________________</w:t>
      </w:r>
      <w:r/>
    </w:p>
    <w:p>
      <w:r/>
      <w:r/>
    </w:p>
    <w:p>
      <w:pPr>
        <w:numPr>
          <w:ilvl w:val="0"/>
          <w:numId w:val="2"/>
        </w:numPr>
        <w:ind w:left="0" w:firstLine="720"/>
      </w:pPr>
      <w:r>
        <w:t xml:space="preserve">Дата заполнения проверочного листа: ___________________________________</w:t>
      </w:r>
      <w:r/>
    </w:p>
    <w:p>
      <w:pPr>
        <w:numPr>
          <w:ilvl w:val="0"/>
          <w:numId w:val="2"/>
        </w:numPr>
        <w:ind w:left="0" w:firstLine="720"/>
        <w:rPr>
          <w:highlight w:val="white"/>
        </w:rPr>
      </w:pPr>
      <w:r>
        <w:rPr>
          <w:highlight w:val="white"/>
        </w:rPr>
        <w:t xml:space="preserve"> Объект государственного контроля (надзора), муниципального контроля, в отношении которого проводится контрольное (надзорное) мероприятие:</w:t>
      </w:r>
      <w:r/>
    </w:p>
    <w:p>
      <w:pPr>
        <w:ind w:left="1080" w:firstLine="0"/>
        <w:rPr>
          <w:highlight w:val="white"/>
        </w:rPr>
      </w:pPr>
      <w:r>
        <w:rPr>
          <w:highlight w:val="white"/>
        </w:rPr>
        <w:t xml:space="preserve">_________________________________________________________________________</w:t>
      </w:r>
      <w:r/>
    </w:p>
    <w:p>
      <w:pPr>
        <w:ind w:left="1080" w:firstLine="0"/>
        <w:rPr>
          <w:sz w:val="16"/>
          <w:highlight w:val="white"/>
        </w:rPr>
      </w:pPr>
      <w:r>
        <w:rPr>
          <w:sz w:val="16"/>
          <w:highlight w:val="white"/>
        </w:rPr>
        <w:t xml:space="preserve">(фамилия, и</w:t>
      </w:r>
      <w:r>
        <w:rPr>
          <w:sz w:val="16"/>
          <w:highlight w:val="white"/>
        </w:rPr>
        <w:t xml:space="preserve">мя и отчество (при наличии)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индивидуального предпринимателя, наименован</w:t>
      </w:r>
      <w:r>
        <w:rPr>
          <w:sz w:val="16"/>
          <w:highlight w:val="white"/>
        </w:rPr>
        <w:t xml:space="preserve">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лицами)</w:t>
      </w:r>
      <w:r/>
    </w:p>
    <w:p>
      <w:pPr>
        <w:ind w:left="1080" w:firstLine="0"/>
        <w:rPr>
          <w:sz w:val="16"/>
          <w:highlight w:val="white"/>
        </w:rPr>
      </w:pPr>
      <w:r>
        <w:rPr>
          <w:sz w:val="16"/>
          <w:highlight w:val="white"/>
        </w:rPr>
      </w:r>
      <w:r/>
    </w:p>
    <w:p>
      <w:pPr>
        <w:ind w:left="1080" w:firstLine="0"/>
      </w:pPr>
      <w:r/>
      <w:r/>
    </w:p>
    <w:p>
      <w:pPr>
        <w:numPr>
          <w:ilvl w:val="0"/>
          <w:numId w:val="2"/>
        </w:numPr>
        <w:ind w:left="0" w:firstLine="720"/>
      </w:pPr>
      <w:r/>
      <w:bookmarkStart w:id="3" w:name="sub_103"/>
      <w:r/>
      <w:bookmarkEnd w:id="2"/>
      <w:r>
        <w:t xml:space="preserve">Место (места) проведения контрольного (надзорного) мероприятия с заполнением проверочного листа:</w:t>
      </w:r>
      <w:r/>
    </w:p>
    <w:p>
      <w:r>
        <w:t xml:space="preserve">_____________________________________________________________________________</w:t>
      </w:r>
      <w:r/>
    </w:p>
    <w:p>
      <w:pPr>
        <w:numPr>
          <w:ilvl w:val="0"/>
          <w:numId w:val="2"/>
        </w:numPr>
        <w:ind w:left="0" w:firstLine="720"/>
      </w:pPr>
      <w:r>
        <w:t xml:space="preserve">Реквизиты решения Министерства о проведении контрольного (надзорного) мероприятия, подписанного уполномоченным должностным лицом Министерства:</w:t>
      </w:r>
      <w:r/>
    </w:p>
    <w:p>
      <w:pPr>
        <w:ind w:firstLine="0"/>
      </w:pPr>
      <w:r>
        <w:t xml:space="preserve">приказ Министерства  сельского  хозяйства  Пензенской  области </w:t>
      </w:r>
      <w:r>
        <w:t xml:space="preserve">от</w:t>
      </w:r>
      <w:r>
        <w:t xml:space="preserve"> ____________ № ________.</w:t>
      </w:r>
      <w:r/>
    </w:p>
    <w:p>
      <w:pPr>
        <w:numPr>
          <w:ilvl w:val="0"/>
          <w:numId w:val="2"/>
        </w:numPr>
        <w:ind w:left="0" w:firstLine="720"/>
      </w:pPr>
      <w:r>
        <w:t xml:space="preserve">Учетный номер контрольного (надзорного) мероприятия:</w:t>
      </w:r>
      <w:r/>
    </w:p>
    <w:p>
      <w:pPr>
        <w:ind w:firstLine="0"/>
      </w:pPr>
      <w:r>
        <w:t xml:space="preserve">___________________________________________________________________________________</w:t>
      </w:r>
      <w:r/>
    </w:p>
    <w:p>
      <w:pPr>
        <w:ind w:firstLine="0"/>
      </w:pPr>
      <w:r/>
      <w:r/>
    </w:p>
    <w:p>
      <w:pPr>
        <w:numPr>
          <w:ilvl w:val="0"/>
          <w:numId w:val="2"/>
        </w:numPr>
        <w:rPr>
          <w:highlight w:val="white"/>
        </w:rPr>
      </w:pPr>
      <w:r>
        <w:rPr>
          <w:highlight w:val="white"/>
        </w:rPr>
        <w:t xml:space="preserve">Должность, ФИО лица, проводящего контрольное (надзорное) мероприятие и заполняющего проверочный лист:</w:t>
      </w:r>
      <w:r/>
    </w:p>
    <w:p>
      <w:pPr>
        <w:ind w:firstLine="0"/>
      </w:pPr>
      <w:r>
        <w:rPr>
          <w:highlight w:val="white"/>
        </w:rPr>
        <w:t xml:space="preserve">_________________________________________________________________________________</w:t>
      </w:r>
      <w:r>
        <w:t xml:space="preserve">__</w:t>
      </w:r>
      <w:r/>
    </w:p>
    <w:p>
      <w:pPr>
        <w:ind w:firstLine="0"/>
      </w:pPr>
      <w:r/>
      <w:r/>
    </w:p>
    <w:p>
      <w:pPr>
        <w:ind w:firstLine="709"/>
        <w:rPr>
          <w:highlight w:val="white"/>
        </w:rPr>
      </w:pPr>
      <w:r/>
      <w:bookmarkStart w:id="4" w:name="sub_107"/>
      <w:r/>
      <w:bookmarkEnd w:id="3"/>
      <w:r>
        <w:rPr>
          <w:highlight w:val="white"/>
        </w:rPr>
        <w:t xml:space="preserve"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  <w:bookmarkEnd w:id="4"/>
      <w:r/>
      <w:r/>
    </w:p>
    <w:tbl>
      <w:tblPr>
        <w:tblW w:w="10490" w:type="dxa"/>
        <w:tblInd w:w="108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686"/>
        <w:gridCol w:w="3118"/>
        <w:gridCol w:w="1276"/>
        <w:gridCol w:w="1701"/>
      </w:tblGrid>
      <w:tr>
        <w:trPr/>
        <w:tc>
          <w:tcPr>
            <w:tcBorders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№</w:t>
            </w:r>
            <w:r/>
          </w:p>
          <w:p>
            <w:pPr>
              <w:pStyle w:val="603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п</w:t>
            </w:r>
            <w:r>
              <w:rPr>
                <w:highlight w:val="white"/>
              </w:rPr>
              <w:t xml:space="preserve">/п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6" w:type="dxa"/>
            <w:textDirection w:val="lrTb"/>
            <w:noWrap w:val="false"/>
          </w:tcPr>
          <w:p>
            <w:pPr>
              <w:pStyle w:val="603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Контрольные вопросы, отражающие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18" w:type="dxa"/>
            <w:textDirection w:val="lrTb"/>
            <w:noWrap w:val="false"/>
          </w:tcPr>
          <w:p>
            <w:pPr>
              <w:pStyle w:val="603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Реквизиты нормативных правовых актов с указанием структурных единиц этих актов, соотнесенных со списком контрольных вопросов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pStyle w:val="603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Ответы на вопросы</w:t>
            </w:r>
            <w:hyperlink w:tooltip="Current Document" w:anchor="sub_11" w:history="1">
              <w:r>
                <w:rPr>
                  <w:rStyle w:val="601"/>
                  <w:highlight w:val="white"/>
                </w:rPr>
                <w:t xml:space="preserve">*</w:t>
              </w:r>
            </w:hyperlink>
            <w:r/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pStyle w:val="603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Примечание*</w:t>
            </w:r>
            <w:r>
              <w:rPr>
                <w:highlight w:val="white"/>
                <w:shd w:val="clear" w:color="auto" w:fill="FFFFFF" w:themeFill="background1"/>
              </w:rPr>
              <w:t xml:space="preserve">*</w:t>
            </w:r>
            <w:r>
              <w:rPr>
                <w:highlight w:val="white"/>
                <w:shd w:val="clear" w:color="auto" w:fill="FFFFFF" w:themeFill="background1"/>
              </w:rPr>
              <w:t xml:space="preserve"> </w:t>
            </w:r>
            <w:r>
              <w:rPr>
                <w:highlight w:val="white"/>
              </w:rPr>
            </w:r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Розничная продажа пива, пивных напитков, сидра, </w:t>
            </w:r>
            <w:r>
              <w:rPr>
                <w:highlight w:val="white"/>
              </w:rPr>
              <w:t xml:space="preserve">пуаре</w:t>
            </w:r>
            <w:r>
              <w:rPr>
                <w:highlight w:val="white"/>
              </w:rPr>
              <w:t xml:space="preserve">, медовухи и розничная продажа пива, пивных напитков, сидра, </w:t>
            </w:r>
            <w:r>
              <w:rPr>
                <w:highlight w:val="white"/>
              </w:rPr>
              <w:t xml:space="preserve">пуаре</w:t>
            </w:r>
            <w:r>
              <w:rPr>
                <w:highlight w:val="white"/>
              </w:rPr>
              <w:t xml:space="preserve">, медовухи при оказании услуг общественного питания осуществляется организацией, либо индивидуальным предпринимателем?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ind w:firstLine="0"/>
              <w:jc w:val="left"/>
              <w:widowControl/>
              <w:rPr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/>
            <w:hyperlink r:id="rId10" w:tooltip="http://internet.garant.ru/document/redirect/10105489/160" w:history="1">
              <w:r>
                <w:rPr>
                  <w:rStyle w:val="601"/>
                  <w:highlight w:val="white"/>
                </w:rPr>
                <w:t xml:space="preserve">Пункт 1 статьи 16</w:t>
              </w:r>
            </w:hyperlink>
            <w:r>
              <w:rPr>
                <w:highlight w:val="white"/>
              </w:rPr>
              <w:t xml:space="preserve"> Федерального закона от 22.11.1</w:t>
            </w:r>
            <w:r>
              <w:rPr>
                <w:highlight w:val="white"/>
              </w:rPr>
              <w:t xml:space="preserve">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(с последующими изменениями) (далее - Федеральный закон № 171-ФЗ)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  <w:rPr>
                <w:highlight w:val="white"/>
              </w:rPr>
            </w:pPr>
            <w:r>
              <w:rPr>
                <w:highlight w:val="whit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  <w:rPr>
                <w:highlight w:val="white"/>
              </w:rPr>
            </w:pPr>
            <w:r>
              <w:rPr>
                <w:highlight w:val="white"/>
              </w:rPr>
            </w:r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Розничная продажа алкогольной продукции при оказании услуг общественного питания, на основании соответствующей лицензии, осуществляется в объекте общественного питания, классифицированному как ресторан, бар, кафе, либо буфет?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05"/>
              <w:rPr>
                <w:highlight w:val="white"/>
              </w:rPr>
            </w:pPr>
            <w:r/>
            <w:hyperlink r:id="rId11" w:tooltip="http://internet.garant.ru/document/redirect/10105489/164" w:history="1">
              <w:r>
                <w:rPr>
                  <w:rStyle w:val="601"/>
                  <w:highlight w:val="white"/>
                </w:rPr>
                <w:t xml:space="preserve">Пункт 4 статьи 16</w:t>
              </w:r>
            </w:hyperlink>
            <w:r>
              <w:rPr>
                <w:highlight w:val="white"/>
              </w:rPr>
              <w:t xml:space="preserve"> Федерального закона № 171-ФЗ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</w:pPr>
            <w:r>
              <w:rPr>
                <w:highlight w:val="white"/>
              </w:rPr>
              <w:t xml:space="preserve">О</w:t>
            </w:r>
            <w:r>
              <w:rPr>
                <w:highlight w:val="white"/>
              </w:rPr>
              <w:t xml:space="preserve">бъект</w:t>
            </w:r>
            <w:r>
              <w:rPr>
                <w:highlight w:val="white"/>
              </w:rPr>
              <w:t xml:space="preserve"> </w:t>
            </w:r>
            <w:r>
              <w:t xml:space="preserve">общественного питания соответствует </w:t>
            </w:r>
            <w:r>
              <w:t xml:space="preserve">наименованию </w:t>
            </w:r>
            <w:r>
              <w:rPr>
                <w:highlight w:val="white"/>
              </w:rPr>
              <w:t xml:space="preserve">объекта</w:t>
            </w:r>
            <w:r>
              <w:rPr>
                <w:highlight w:val="white"/>
              </w:rPr>
              <w:t xml:space="preserve">, указанно</w:t>
            </w:r>
            <w:r>
              <w:rPr>
                <w:highlight w:val="white"/>
              </w:rPr>
              <w:t xml:space="preserve">го</w:t>
            </w:r>
            <w:r>
              <w:rPr>
                <w:highlight w:val="white"/>
              </w:rPr>
              <w:t xml:space="preserve"> в</w:t>
            </w:r>
            <w:r>
              <w:t xml:space="preserve"> лицензии на розничную продажу алкогольной продукции?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05"/>
            </w:pPr>
            <w:r/>
            <w:hyperlink r:id="rId12" w:tooltip="http://internet.garant.ru/document/redirect/10105489/164" w:history="1">
              <w:r>
                <w:rPr>
                  <w:rStyle w:val="601"/>
                </w:rPr>
                <w:t xml:space="preserve">Пункт 4 статьи 16</w:t>
              </w:r>
            </w:hyperlink>
            <w:r>
              <w:t xml:space="preserve"> Федерального закона № 171-ФЗ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</w:pPr>
            <w:r>
              <w:t xml:space="preserve">Местонахождение торгового объекта (объекта общественного питания) соответствует требованиям, предъявляемым к размещению торгового объекта (объекта общественного питания), осуществляющему </w:t>
            </w:r>
            <w:r>
              <w:t xml:space="preserve">розничную продажу алкогольной продукции (розничную продажу алкогольной продукции при оказании услуг общественного питания)?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05"/>
            </w:pPr>
            <w:r/>
            <w:hyperlink r:id="rId13" w:tooltip="http://internet.garant.ru/document/redirect/10105489/1602" w:history="1">
              <w:r>
                <w:rPr>
                  <w:rStyle w:val="601"/>
                </w:rPr>
                <w:t xml:space="preserve">Пункты 2</w:t>
              </w:r>
            </w:hyperlink>
            <w:r>
              <w:t xml:space="preserve">, </w:t>
            </w:r>
            <w:hyperlink r:id="rId14" w:tooltip="http://internet.garant.ru/document/redirect/10105489/163" w:history="1">
              <w:r>
                <w:rPr>
                  <w:rStyle w:val="601"/>
                </w:rPr>
                <w:t xml:space="preserve">3</w:t>
              </w:r>
            </w:hyperlink>
            <w:r>
              <w:t xml:space="preserve">, </w:t>
            </w:r>
            <w:hyperlink r:id="rId15" w:tooltip="http://internet.garant.ru/document/redirect/10105489/165" w:history="1">
              <w:r>
                <w:rPr>
                  <w:rStyle w:val="601"/>
                </w:rPr>
                <w:t xml:space="preserve">5</w:t>
              </w:r>
            </w:hyperlink>
            <w:r>
              <w:t xml:space="preserve">, </w:t>
            </w:r>
            <w:hyperlink r:id="rId16" w:tooltip="http://internet.garant.ru/document/redirect/10105489/1660" w:history="1">
              <w:r>
                <w:rPr>
                  <w:rStyle w:val="601"/>
                </w:rPr>
                <w:t xml:space="preserve">6 статьи 16</w:t>
              </w:r>
            </w:hyperlink>
            <w:r>
              <w:t xml:space="preserve"> Федерального закона № 171-ФЗ</w:t>
            </w:r>
            <w:r/>
          </w:p>
          <w:p>
            <w:pPr>
              <w:pStyle w:val="605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</w:pPr>
            <w:r>
              <w:t xml:space="preserve">Розничная продажа алк</w:t>
            </w:r>
            <w:r>
              <w:t xml:space="preserve">огольной продукции (розничная продажа алкогольной продукции при оказании услуг общественного питания) осуществляются с применением контрольно-кассовой техники в соответствии с законодательством Российской Федерации о применении контрольно-кассовой техники?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05"/>
            </w:pPr>
            <w:r/>
            <w:hyperlink r:id="rId17" w:tooltip="http://internet.garant.ru/document/redirect/10105489/1610" w:history="1">
              <w:r>
                <w:rPr>
                  <w:rStyle w:val="601"/>
                </w:rPr>
                <w:t xml:space="preserve">Пункт 10 статьи 16</w:t>
              </w:r>
            </w:hyperlink>
            <w:r>
              <w:t xml:space="preserve"> Федерального закона №171-ФЗ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</w:pPr>
            <w:r>
              <w:t xml:space="preserve">Программно-аппаратные средства обеспечивают прием и передачу информации об обороте алкогольной продукции?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05"/>
            </w:pPr>
            <w:r/>
            <w:hyperlink r:id="rId18" w:tooltip="http://internet.garant.ru/document/redirect/10105489/802" w:history="1">
              <w:r>
                <w:rPr>
                  <w:rStyle w:val="601"/>
                </w:rPr>
                <w:t xml:space="preserve">Пункт 2 статьи 8</w:t>
              </w:r>
            </w:hyperlink>
            <w:r>
              <w:t xml:space="preserve"> Федерального закона № 171-ФЗ,</w:t>
            </w:r>
            <w:r/>
          </w:p>
          <w:p>
            <w:pPr>
              <w:pStyle w:val="605"/>
            </w:pPr>
            <w:r>
              <w:t xml:space="preserve">Приказ </w:t>
            </w:r>
            <w:r>
              <w:t xml:space="preserve">Росалкогольрегулирования</w:t>
            </w:r>
            <w:r>
              <w:t xml:space="preserve"> от 20.10.2020 </w:t>
            </w:r>
            <w:r>
              <w:t xml:space="preserve">№</w:t>
            </w:r>
            <w:r>
              <w:t xml:space="preserve"> 335</w:t>
            </w:r>
            <w:r/>
          </w:p>
          <w:p>
            <w:pPr>
              <w:ind w:firstLine="0"/>
            </w:pPr>
            <w:r>
              <w:t xml:space="preserve">«О перечнях сведений, содержащихся в штриховом коде документа, предо</w:t>
            </w:r>
            <w:r>
              <w:t xml:space="preserve">ставляемого покупателю, о факте фиксации информации о розничной продаже алкогольной продукции в единой государственной автоматизированной информационной системе учета объема производства и оборота этилового спирта, алкогольной и спиртосодержащей продукции»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7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</w:pPr>
            <w:r>
              <w:rPr>
                <w:highlight w:val="white"/>
              </w:rPr>
              <w:t xml:space="preserve">Фиксируется информация в единой государственной автоматизи</w:t>
            </w:r>
            <w:r>
              <w:rPr>
                <w:highlight w:val="white"/>
              </w:rPr>
              <w:t xml:space="preserve">рованной </w:t>
            </w:r>
            <w:r>
              <w:rPr>
                <w:highlight w:val="white"/>
              </w:rPr>
              <w:t xml:space="preserve">информационной системе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об </w:t>
            </w:r>
            <w:r>
              <w:rPr>
                <w:bCs/>
                <w:highlight w:val="white"/>
              </w:rPr>
              <w:t xml:space="preserve">обороте этиловог</w:t>
            </w:r>
            <w:r>
              <w:rPr>
                <w:bCs/>
              </w:rPr>
              <w:t xml:space="preserve">о спирта, алкогольной и спиртосодержащей продукции?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highlight w:val="white"/>
              </w:rPr>
              <w:t xml:space="preserve">Пункт 2 </w:t>
            </w:r>
            <w:r>
              <w:rPr>
                <w:highlight w:val="white"/>
              </w:rPr>
              <w:t xml:space="preserve">с</w:t>
            </w:r>
            <w:hyperlink r:id="rId19" w:tooltip="consultantplus://offline/ref=A08C7905E49F12998AA0F6D6D41BED356F3E35384EFB1EC82A305C82122949CDA0B10F2C0F8D7CF54824A28EDC36B99CB567D0F46Ae0WCL" w:history="1">
              <w:r>
                <w:rPr>
                  <w:rFonts w:ascii="Times New Roman" w:hAnsi="Times New Roman" w:cs="Times New Roman"/>
                  <w:highlight w:val="white"/>
                </w:rPr>
                <w:t xml:space="preserve">татьи</w:t>
              </w:r>
              <w:r>
                <w:rPr>
                  <w:rFonts w:ascii="Times New Roman" w:hAnsi="Times New Roman" w:cs="Times New Roman"/>
                  <w:highlight w:val="white"/>
                </w:rPr>
                <w:t xml:space="preserve"> 14</w:t>
              </w:r>
            </w:hyperlink>
            <w:r>
              <w:rPr>
                <w:rFonts w:ascii="Times New Roman" w:hAnsi="Times New Roman" w:cs="Times New Roman"/>
                <w:highlight w:val="white"/>
              </w:rPr>
              <w:t xml:space="preserve"> Закона № 171-ФЗ;</w:t>
            </w:r>
            <w:r/>
          </w:p>
          <w:p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постановление Правительства Российской Федерации от 31.12.2020 № 2466 «О ведении и функционировании единой государственной автоматизированной информационной системы учета объема производства и оборота этилового спирта, алкогольной и </w:t>
            </w:r>
            <w:r>
              <w:rPr>
                <w:rFonts w:ascii="Times New Roman" w:hAnsi="Times New Roman" w:cs="Times New Roman"/>
                <w:highlight w:val="white"/>
              </w:rPr>
              <w:t xml:space="preserve">спиртосодержащей продукции»</w:t>
            </w:r>
            <w:r>
              <w:rPr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highlight w:val="white"/>
              </w:rPr>
              <w:t xml:space="preserve">(с последующими изменениями)</w:t>
            </w:r>
            <w:r>
              <w:rPr>
                <w:rFonts w:ascii="Times New Roman" w:hAnsi="Times New Roman" w:cs="Times New Roman"/>
              </w:rPr>
              <w:t xml:space="preserve">,</w:t>
            </w:r>
            <w:r/>
          </w:p>
          <w:p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  <w:p>
            <w:pPr>
              <w:ind w:firstLine="0"/>
            </w:pPr>
            <w:r>
              <w:rPr>
                <w:rFonts w:ascii="Times New Roman" w:hAnsi="Times New Roman" w:cs="Times New Roman"/>
              </w:rPr>
              <w:t xml:space="preserve">Приказ </w:t>
            </w:r>
            <w:r>
              <w:rPr>
                <w:rFonts w:ascii="Times New Roman" w:hAnsi="Times New Roman" w:cs="Times New Roman"/>
              </w:rPr>
              <w:t xml:space="preserve">Росалкогольрегулирова</w:t>
            </w:r>
            <w:r>
              <w:rPr>
                <w:rFonts w:ascii="Times New Roman" w:hAnsi="Times New Roman" w:cs="Times New Roman"/>
              </w:rPr>
              <w:t xml:space="preserve">н</w:t>
            </w:r>
            <w:r>
              <w:rPr>
                <w:rFonts w:ascii="Times New Roman" w:hAnsi="Times New Roman" w:cs="Times New Roman"/>
              </w:rPr>
              <w:t xml:space="preserve">ия</w:t>
            </w:r>
            <w:r>
              <w:rPr>
                <w:rFonts w:ascii="Times New Roman" w:hAnsi="Times New Roman" w:cs="Times New Roman"/>
              </w:rPr>
              <w:t xml:space="preserve"> от 20.10.2020 </w:t>
            </w:r>
            <w:r>
              <w:rPr>
                <w:rFonts w:ascii="Times New Roman" w:hAnsi="Times New Roman" w:cs="Times New Roman"/>
              </w:rPr>
              <w:t xml:space="preserve">№</w:t>
            </w:r>
            <w:r>
              <w:rPr>
                <w:rFonts w:ascii="Times New Roman" w:hAnsi="Times New Roman" w:cs="Times New Roman"/>
              </w:rPr>
              <w:t xml:space="preserve"> 335</w:t>
            </w:r>
            <w:r/>
          </w:p>
          <w:p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 перечнях сведений, содержащихся в штриховом коде документа, предо</w:t>
            </w:r>
            <w:r>
              <w:rPr>
                <w:rFonts w:ascii="Times New Roman" w:hAnsi="Times New Roman" w:cs="Times New Roman"/>
              </w:rPr>
              <w:t xml:space="preserve">ставляемого покупателю, о факте фиксации информации о розничной продаже алкогольной продукции в единой государственной автоматизированной информационной системе учета объема производства и оборота этилового спирта, алкогольной и спиртосодержащей продукции»</w:t>
            </w:r>
            <w:r>
              <w:rPr>
                <w:rFonts w:ascii="Times New Roman" w:hAnsi="Times New Roman" w:cs="Times New Roman"/>
              </w:rPr>
              <w:t xml:space="preserve">,</w:t>
            </w:r>
            <w:r/>
          </w:p>
          <w:p>
            <w:pPr>
              <w:ind w:firstLine="0"/>
              <w:rPr>
                <w:highlight w:val="white"/>
              </w:rPr>
            </w:pPr>
            <w:r>
              <w:rPr>
                <w:highlight w:val="white"/>
              </w:rPr>
              <w:t xml:space="preserve">Приказ </w:t>
            </w:r>
            <w:r>
              <w:rPr>
                <w:highlight w:val="white"/>
              </w:rPr>
              <w:t xml:space="preserve">Росалкогольрегулирования</w:t>
            </w:r>
            <w:r>
              <w:rPr>
                <w:highlight w:val="white"/>
              </w:rPr>
              <w:t xml:space="preserve"> от 17.12.2020 № 397 «Об утверждении форм, порядк</w:t>
            </w:r>
            <w:r>
              <w:rPr>
                <w:highlight w:val="white"/>
              </w:rPr>
              <w:t xml:space="preserve">а заполнения, форматов и сроков представления в электронном виде заявок о фиксации информации в единой государственной автоматизированной информационной системе учета объема производства и оборота этилового спирта, алкогольной и спиртосодержащей продукции»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  <w:rPr>
                <w:highlight w:val="white"/>
              </w:rPr>
            </w:pPr>
            <w:r>
              <w:rPr>
                <w:highlight w:val="whit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8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</w:pPr>
            <w:r>
              <w:t xml:space="preserve">При осуществлении оборота пива и пивных напитков, сидра, </w:t>
            </w:r>
            <w:r>
              <w:t xml:space="preserve">пуаре</w:t>
            </w:r>
            <w:r>
              <w:t xml:space="preserve">, медовухи, подлежащих обязательной маркировке средствами идентификации,  представляются сведения об объеме производства и (или) оборота такой продукции в соответствующую государственную </w:t>
            </w:r>
            <w:r>
              <w:t xml:space="preserve">информационную систему согласно правилам, утвержденным Правительством Российской Федерации?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05"/>
              <w:rPr>
                <w:highlight w:val="white"/>
              </w:rPr>
            </w:pPr>
            <w:r/>
            <w:hyperlink r:id="rId20" w:tooltip="http://internet.garant.ru/document/redirect/10105489/802" w:history="1">
              <w:r>
                <w:rPr>
                  <w:rStyle w:val="601"/>
                  <w:highlight w:val="white"/>
                </w:rPr>
                <w:t xml:space="preserve">Пункт 1 статьи 14</w:t>
              </w:r>
            </w:hyperlink>
            <w:r>
              <w:rPr>
                <w:highlight w:val="white"/>
              </w:rPr>
              <w:t xml:space="preserve"> Федерального закона № 171-ФЗ</w:t>
            </w:r>
            <w:r/>
          </w:p>
          <w:p>
            <w:r>
              <w:t xml:space="preserve">Постановление Правительства РФ от 30.11.2022 № 2173</w:t>
            </w:r>
            <w:r/>
          </w:p>
          <w:p>
            <w:pPr>
              <w:ind w:firstLine="0"/>
            </w:pPr>
            <w:r>
              <w:t xml:space="preserve">«Об утверждении Правил маркировки пива, напитков, изготавливаемых на основе пива, и отдельных видов </w:t>
            </w:r>
            <w:r>
              <w:t xml:space="preserve">слабоалкогольных напитков средствами идентификации и особе</w:t>
            </w:r>
            <w:r>
              <w:t xml:space="preserve">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пива, напитков, изготавливаемых на основе пива, и отдельных видов слабоалкогольных напитков»,</w:t>
            </w:r>
            <w:r/>
          </w:p>
          <w:p>
            <w:pPr>
              <w:ind w:firstLine="0"/>
            </w:pPr>
            <w:r/>
            <w:r/>
          </w:p>
          <w:p>
            <w:pPr>
              <w:ind w:firstLine="0"/>
            </w:pPr>
            <w:r>
              <w:t xml:space="preserve">Приказ </w:t>
            </w:r>
            <w:r>
              <w:t xml:space="preserve">Росалкогольрегулирования</w:t>
            </w:r>
            <w:r>
              <w:t xml:space="preserve"> от 17.12.2020 </w:t>
            </w:r>
            <w:r>
              <w:t xml:space="preserve">№</w:t>
            </w:r>
            <w:r>
              <w:t xml:space="preserve"> 401</w:t>
            </w:r>
            <w:r/>
          </w:p>
          <w:p>
            <w:pPr>
              <w:ind w:firstLine="0"/>
            </w:pPr>
            <w:r>
              <w:t xml:space="preserve">«Об утверждении образцов, перечня реквизитов и элементов защиты федеральных специальных марок для маркировки алкогольной продукции»</w:t>
            </w:r>
            <w:r/>
          </w:p>
          <w:p>
            <w:pPr>
              <w:pStyle w:val="605"/>
              <w:rPr>
                <w:highlight w:val="white"/>
              </w:rPr>
            </w:pPr>
            <w:r>
              <w:rPr>
                <w:highlight w:val="whit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9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Имеются ли  н</w:t>
            </w:r>
            <w:r>
              <w:rPr>
                <w:highlight w:val="white"/>
              </w:rPr>
              <w:t xml:space="preserve">а алкогольную и спиртосодержащую продукцию </w:t>
            </w:r>
            <w:r>
              <w:rPr>
                <w:highlight w:val="white"/>
              </w:rPr>
              <w:t xml:space="preserve">сопроводительные документы, удостоверяющие легальность их производства и оборота, определенные статьей  10.2 Федерального закона № 171-ФЗ </w:t>
            </w:r>
            <w:r>
              <w:rPr>
                <w:highlight w:val="white"/>
              </w:rPr>
              <w:t xml:space="preserve">товарно-транспортные накладные?</w:t>
            </w:r>
            <w:r>
              <w:rPr>
                <w:rStyle w:val="589"/>
                <w:highlight w:val="white"/>
              </w:rPr>
              <w:footnoteReference w:id="1"/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05"/>
            </w:pPr>
            <w:r/>
            <w:hyperlink r:id="rId21" w:tooltip="http://internet.garant.ru/document/redirect/10105489/1002" w:history="1">
              <w:r>
                <w:rPr>
                  <w:rStyle w:val="601"/>
                </w:rPr>
                <w:t xml:space="preserve">Статья 10.2</w:t>
              </w:r>
            </w:hyperlink>
            <w:r>
              <w:t xml:space="preserve"> Федерального закона № 171-ФЗ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10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</w:pPr>
            <w:r>
              <w:t xml:space="preserve">В документах, сопровождающих оборот алкогольной и спиртосодержащей продукции, указаны сведения о сертификатах соответствия или декларациях о соответствии?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05"/>
            </w:pPr>
            <w:r/>
            <w:hyperlink r:id="rId22" w:tooltip="http://internet.garant.ru/document/redirect/10105489/162012" w:history="1">
              <w:r>
                <w:rPr>
                  <w:rStyle w:val="601"/>
                </w:rPr>
                <w:t xml:space="preserve">Подпункт 12 пункта 2 статьи 16</w:t>
              </w:r>
            </w:hyperlink>
            <w:r>
              <w:t xml:space="preserve"> Федерального закона № 171-ФЗ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11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</w:pPr>
            <w:r>
              <w:t xml:space="preserve">Соблюдается запрет на розничную продажу спиртосодержащей пищевой продукции, в том числе дистанционным способом, а также розничную продажу </w:t>
            </w:r>
            <w:r>
              <w:t xml:space="preserve">спиртосодержащей непищевой продукции с использованием торговых автоматов?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05"/>
            </w:pPr>
            <w:r/>
            <w:hyperlink r:id="rId23" w:tooltip="http://internet.garant.ru/document/redirect/10105489/1101" w:history="1">
              <w:r>
                <w:rPr>
                  <w:rStyle w:val="601"/>
                </w:rPr>
                <w:t xml:space="preserve">Пункт 1 статьи 11</w:t>
              </w:r>
            </w:hyperlink>
            <w:r>
              <w:rPr>
                <w:rStyle w:val="601"/>
              </w:rPr>
              <w:t xml:space="preserve">, </w:t>
            </w:r>
            <w:r>
              <w:t xml:space="preserve"> </w:t>
            </w:r>
            <w:r>
              <w:rPr>
                <w:highlight w:val="white"/>
              </w:rPr>
              <w:t xml:space="preserve">пункт 2 статьи 16 </w:t>
            </w:r>
            <w:r>
              <w:t xml:space="preserve">Федерального закона № 171-ФЗ</w:t>
            </w:r>
            <w:r/>
          </w:p>
          <w:p>
            <w:pPr>
              <w:pStyle w:val="605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12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  <w:rPr>
                <w:highlight w:val="white"/>
              </w:rPr>
            </w:pPr>
            <w:r>
              <w:t xml:space="preserve">Розничная продажа алкогольной продукции осуществляется по ценам не ниже цен, установленных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регулирующим о</w:t>
            </w:r>
            <w:r>
              <w:rPr>
                <w:highlight w:val="white"/>
              </w:rPr>
              <w:t xml:space="preserve">рганом</w:t>
            </w:r>
            <w:r>
              <w:rPr>
                <w:highlight w:val="white"/>
              </w:rPr>
              <w:t xml:space="preserve">?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05"/>
            </w:pPr>
            <w:r/>
            <w:hyperlink r:id="rId24" w:tooltip="http://internet.garant.ru/document/redirect/10105489/1105" w:history="1">
              <w:r>
                <w:rPr>
                  <w:rStyle w:val="601"/>
                </w:rPr>
                <w:t xml:space="preserve">Пункт 5 статьи 11</w:t>
              </w:r>
            </w:hyperlink>
            <w:r>
              <w:t xml:space="preserve"> Федерального закона № 171-ФЗ</w:t>
            </w:r>
            <w:r>
              <w:t xml:space="preserve">, </w:t>
            </w:r>
            <w:r/>
          </w:p>
          <w:p>
            <w:pPr>
              <w:ind w:firstLine="0"/>
            </w:pPr>
            <w:r>
              <w:t xml:space="preserve">п</w:t>
            </w:r>
            <w:r>
              <w:t xml:space="preserve">риказ Минфина России от 18.12.2025 </w:t>
            </w:r>
            <w:r>
              <w:t xml:space="preserve">№</w:t>
            </w:r>
            <w:r>
              <w:t xml:space="preserve"> 181н «Об установлении цен, не ниже которых осуществляются закупка (за исключением импорта), поставки (за исключением экспорта) и розничная продажа алкогольной продукции крепостью свыше 28 процентов»</w:t>
            </w:r>
            <w:r>
              <w:t xml:space="preserve">, </w:t>
            </w:r>
            <w:r/>
          </w:p>
          <w:p>
            <w:pPr>
              <w:ind w:firstLine="0"/>
              <w:widowControl/>
              <w:rPr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highlight w:val="white"/>
              </w:rPr>
              <w:t xml:space="preserve">приказ Минфина России от 25.11.2022 № 180н</w:t>
            </w:r>
            <w:r>
              <w:rPr>
                <w:highlight w:val="white"/>
              </w:rPr>
            </w:r>
          </w:p>
          <w:p>
            <w:pPr>
              <w:ind w:firstLine="0"/>
              <w:widowControl/>
              <w:rPr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highlight w:val="white"/>
              </w:rPr>
              <w:t xml:space="preserve">«Об устано</w:t>
            </w:r>
            <w:r>
              <w:rPr>
                <w:highlight w:val="white"/>
              </w:rPr>
              <w:t xml:space="preserve">влении цен, не ниже которых осуществляются закупка (за исключением импорта), поставки (за исключением экспорта) и розничная продажа игристого вина и о признании утратившим силу приказа Министерства финансов Российской Федерации от 7 октября 2020 г. № 232н»</w:t>
            </w:r>
            <w:r>
              <w:rPr>
                <w:highlight w:val="white"/>
              </w:rPr>
            </w:r>
          </w:p>
          <w:p>
            <w:pPr>
              <w:ind w:firstLine="0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13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</w:pPr>
            <w:r>
              <w:t xml:space="preserve">Соблю</w:t>
            </w:r>
            <w:r>
              <w:t xml:space="preserve">дается запрет на оборот алкогольной продукции в полимерной потребительской таре (потребительской таре либо упаковке, полностью изготовленных из полиэтилена, полистирола, полиэтилентерефталата или иного полимерного материала) объемом более 1500 миллилитров?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05"/>
            </w:pPr>
            <w:r/>
            <w:hyperlink r:id="rId25" w:tooltip="http://internet.garant.ru/document/redirect/10105489/1161" w:history="1">
              <w:r>
                <w:rPr>
                  <w:rStyle w:val="601"/>
                </w:rPr>
                <w:t xml:space="preserve">Пункт 6.1 статьи 11</w:t>
              </w:r>
            </w:hyperlink>
            <w:r>
              <w:rPr>
                <w:rStyle w:val="601"/>
              </w:rPr>
              <w:t xml:space="preserve">, </w:t>
            </w:r>
            <w:r>
              <w:t xml:space="preserve"> </w:t>
            </w:r>
            <w:r>
              <w:rPr>
                <w:highlight w:val="white"/>
              </w:rPr>
              <w:t xml:space="preserve">подпункт 15 пункта 2 статьи 16 </w:t>
            </w:r>
            <w:r>
              <w:t xml:space="preserve">Федерального закона № 171-ФЗ</w:t>
            </w:r>
            <w:r/>
          </w:p>
          <w:p>
            <w:pPr>
              <w:pStyle w:val="605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14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  <w:rPr>
                <w:highlight w:val="white"/>
              </w:rPr>
            </w:pPr>
            <w:r>
              <w:t xml:space="preserve">Соблюдается ли осуществление розничной продажи алкогольной продукции при оказании услуг общественного питания в объектах общественного питания, имеющих </w:t>
            </w:r>
            <w:hyperlink r:id="rId26" w:tooltip="consultantplus://offline/ref=FB9DF5CC26032F2779D68C22C55E23F69423EBD9DEB72808919323B52303624E9F360F37DC37FAF8286420F69390F73A1C7A00DBB7A011EDC1N9N" w:history="1">
              <w:r>
                <w:t xml:space="preserve">зал обслуживания</w:t>
              </w:r>
            </w:hyperlink>
            <w:r>
              <w:t xml:space="preserve"> посетителей </w:t>
            </w:r>
            <w:r>
              <w:t xml:space="preserve">(специально оборудованного помещения объекта общественного питания, предназначенного для потребления готовой кулинарной продукции, кондитерских изделий и (или) покупных товаров</w:t>
            </w:r>
            <w:r>
              <w:rPr>
                <w:highlight w:val="white"/>
              </w:rPr>
              <w:t xml:space="preserve">)?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</w:rPr>
            </w:pPr>
            <w:r/>
            <w:hyperlink r:id="rId27" w:tooltip="consultantplus://offline/ref=A08C7905E49F12998AA0F6D6D41BED356F3E35384EFB1EC82A305C82122949CDA0B10F2E078A7FA6186BA3D29966AA9CB267D3F6760FD21De9W0L" w:history="1">
              <w:r>
                <w:rPr>
                  <w:rFonts w:ascii="Times New Roman" w:hAnsi="Times New Roman" w:cs="Times New Roman"/>
                </w:rPr>
                <w:t xml:space="preserve">Пункт 4 статьи 16</w:t>
              </w:r>
            </w:hyperlink>
            <w:r>
              <w:rPr>
                <w:rFonts w:ascii="Times New Roman" w:hAnsi="Times New Roman" w:cs="Times New Roman"/>
              </w:rPr>
              <w:t xml:space="preserve">  Федерального закона № 171-ФЗ</w:t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15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Соблюдаются ли </w:t>
            </w:r>
            <w:r>
              <w:rPr>
                <w:highlight w:val="white"/>
              </w:rPr>
              <w:t xml:space="preserve">запрет</w:t>
            </w:r>
            <w:r>
              <w:rPr>
                <w:highlight w:val="white"/>
              </w:rPr>
              <w:t xml:space="preserve"> розничной прод</w:t>
            </w:r>
            <w:r>
              <w:rPr>
                <w:highlight w:val="white"/>
              </w:rPr>
              <w:t xml:space="preserve">ажи алкогольной продукции 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территориях, с общей площадью зала обслуживания посетителей менее 30 квадратных метров?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Пункт 4.1</w:t>
            </w:r>
            <w:r>
              <w:rPr>
                <w:rFonts w:ascii="Times New Roman" w:hAnsi="Times New Roman" w:cs="Times New Roman"/>
                <w:highlight w:val="white"/>
              </w:rPr>
              <w:t xml:space="preserve"> статьи 16  Федерального закона № 171-ФЗ</w:t>
            </w:r>
            <w:r>
              <w:rPr>
                <w:rFonts w:ascii="Times New Roman" w:hAnsi="Times New Roman" w:cs="Times New Roman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highlight w:val="white"/>
              </w:rPr>
              <w:t xml:space="preserve">статья </w:t>
            </w:r>
            <w:r>
              <w:rPr>
                <w:highlight w:val="white"/>
              </w:rPr>
              <w:t xml:space="preserve">3 Закона Пензенской области от 24.04.2024 № 4233-ЗПО </w:t>
            </w:r>
            <w:r>
              <w:rPr>
                <w:highlight w:val="white"/>
              </w:rPr>
              <w:t xml:space="preserve">«О некоторых вопросах, связанных с реализацией в Пензенской области отдельных положений Федерального закона от 22 ноября 1995</w:t>
            </w:r>
            <w:r>
              <w:rPr>
                <w:highlight w:val="white"/>
              </w:rPr>
              <w:t xml:space="preserve">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(с последующими изменениями) (далее - Закона Пензенской области</w:t>
            </w:r>
            <w:r>
              <w:rPr>
                <w:highlight w:val="white"/>
              </w:rPr>
              <w:t xml:space="preserve"> от 24.04.2024 № 4233-ЗПО)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16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  <w:rPr>
                <w:highlight w:val="white"/>
              </w:rPr>
            </w:pP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highlight w:val="white"/>
              </w:rPr>
              <w:t xml:space="preserve">облюдаются ли  дополнительные ограничения времени, условий и мест розничной продажи алкогольной продукции, в том числе полный запрет на розничную продажу алкогольной продукции?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03"/>
            </w:pPr>
            <w:r>
              <w:rPr>
                <w:rFonts w:ascii="Times New Roman" w:hAnsi="Times New Roman" w:cs="Times New Roman"/>
              </w:rPr>
              <w:t xml:space="preserve">статья </w:t>
            </w:r>
            <w:r>
              <w:t xml:space="preserve">3 Закона Пензенской области от 24.04.2024 № 4233-ЗПО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17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  <w:rPr>
                <w:highlight w:val="white"/>
              </w:rPr>
            </w:pPr>
            <w:r>
              <w:t xml:space="preserve">Алкогольная продукция, за исключением пива и пивных напитков, сидра, </w:t>
            </w:r>
            <w:r>
              <w:t xml:space="preserve">пуаре</w:t>
            </w:r>
            <w:r>
              <w:t xml:space="preserve">, медовухи, маркирована федеральными специальными марками,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за исключением, случаев, предусмотренных пунктом 19 статьи  12 Федерального закона № 171-ФЗ</w:t>
            </w:r>
            <w:r>
              <w:rPr>
                <w:highlight w:val="white"/>
              </w:rPr>
              <w:t xml:space="preserve">?</w:t>
            </w:r>
            <w:r>
              <w:rPr>
                <w:highlight w:val="white"/>
              </w:rPr>
            </w:r>
          </w:p>
          <w:p>
            <w:pPr>
              <w:ind w:firstLine="0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05"/>
            </w:pPr>
            <w:r/>
            <w:hyperlink r:id="rId28" w:tooltip="http://internet.garant.ru/document/redirect/10105489/27" w:history="1">
              <w:r>
                <w:rPr>
                  <w:rStyle w:val="601"/>
                </w:rPr>
                <w:t xml:space="preserve">Пункты 1, 2,3 статьи 12</w:t>
              </w:r>
            </w:hyperlink>
            <w:r>
              <w:t xml:space="preserve"> Федерального закона № 171-ФЗ Постановление Правительства РФ от 29.12.2020 № 2348 «О маркировке алкогольной продукции федеральными специальными марками»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18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</w:pPr>
            <w:r>
              <w:rPr>
                <w:highlight w:val="white"/>
              </w:rPr>
              <w:t xml:space="preserve">Соблюдается ли т</w:t>
            </w:r>
            <w:r>
              <w:t xml:space="preserve">ребование о запрете розничной продажи алкогольной продукции, розничной продажи алкогольной продукции при оказании услуг </w:t>
            </w:r>
            <w:r>
              <w:t xml:space="preserve">общественного</w:t>
            </w:r>
            <w:r>
              <w:t xml:space="preserve">, несовершеннолетним соблюдается?</w:t>
            </w:r>
            <w:r/>
          </w:p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05"/>
            </w:pPr>
            <w:r/>
            <w:hyperlink r:id="rId29" w:tooltip="http://internet.garant.ru/document/redirect/10105489/162011" w:history="1">
              <w:r>
                <w:rPr>
                  <w:rStyle w:val="601"/>
                </w:rPr>
                <w:t xml:space="preserve">Подпункт 11 пункта 2 статьи 16</w:t>
              </w:r>
            </w:hyperlink>
            <w:r>
              <w:t xml:space="preserve"> Федерального закона № 171-ФЗ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19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</w:pPr>
            <w:r>
              <w:t xml:space="preserve">Розничная продажа алкогольной продукции при оказании услуг общественного питания осуществляется при условии вскрытия лицом, непосредственно осуществляющим отпуск алкогольной продукции (продавцом), потребительской тары (упаковки)?</w:t>
            </w:r>
            <w:r/>
          </w:p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05"/>
            </w:pPr>
            <w:r/>
            <w:hyperlink r:id="rId30" w:tooltip="http://internet.garant.ru/document/redirect/10105489/164" w:history="1">
              <w:r>
                <w:rPr>
                  <w:rStyle w:val="601"/>
                </w:rPr>
                <w:t xml:space="preserve">Пункт 4 статьи 16</w:t>
              </w:r>
            </w:hyperlink>
            <w:r>
              <w:t xml:space="preserve"> Федерального закона № 171-ФЗ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20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</w:pPr>
            <w:r>
              <w:t xml:space="preserve">Информация об исполнителе и оказываемых им услугах в наглядной и доступной форме доводится до сведения потребителей?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05"/>
            </w:pPr>
            <w:r/>
            <w:hyperlink r:id="rId31" w:tooltip="http://internet.garant.ru/document/redirect/74687276/1012" w:history="1">
              <w:r>
                <w:rPr>
                  <w:rStyle w:val="601"/>
                </w:rPr>
                <w:t xml:space="preserve">Пункт 12</w:t>
              </w:r>
            </w:hyperlink>
            <w:r>
              <w:t xml:space="preserve"> Правил оказания услуг общественного питания, утвержденных </w:t>
            </w:r>
            <w:hyperlink r:id="rId32" w:tooltip="http://internet.garant.ru/document/redirect/74687276/0" w:history="1">
              <w:r>
                <w:rPr>
                  <w:rStyle w:val="601"/>
                </w:rPr>
                <w:t xml:space="preserve">постановлением</w:t>
              </w:r>
            </w:hyperlink>
            <w:r>
              <w:t xml:space="preserve"> Правительства Российской Федерации от 21 сентября 2020 г. № 1515 "Об утверждении Правил оказания услуг общественного питания" (далее - Правила оказания услуг общественного питания)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21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</w:pPr>
            <w:r>
              <w:t xml:space="preserve">Розничная продажа алкогольной продукции осуществляется с 10 часов до 22 часов?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05"/>
            </w:pPr>
            <w:r>
              <w:rPr>
                <w:highlight w:val="white"/>
              </w:rPr>
              <w:t xml:space="preserve">Пункт 9 статьи 16  Федерального закона № 171-ФЗ</w:t>
            </w:r>
            <w:r>
              <w:rPr>
                <w:highlight w:val="white"/>
              </w:rPr>
              <w:t xml:space="preserve">, </w:t>
            </w:r>
            <w:hyperlink r:id="rId33" w:tooltip="http://internet.garant.ru/document/redirect/10105489/1610" w:history="1">
              <w:r>
                <w:rPr>
                  <w:rStyle w:val="601"/>
                  <w:highlight w:val="white"/>
                </w:rPr>
                <w:t xml:space="preserve">п</w:t>
              </w:r>
              <w:r>
                <w:rPr>
                  <w:rStyle w:val="601"/>
                  <w:highlight w:val="white"/>
                </w:rPr>
                <w:t xml:space="preserve">ункт</w:t>
              </w:r>
              <w:r>
                <w:rPr>
                  <w:rStyle w:val="601"/>
                </w:rPr>
                <w:t xml:space="preserve"> 4 статьи </w:t>
              </w:r>
            </w:hyperlink>
            <w:r>
              <w:t xml:space="preserve">3 Закона Пензенской области от 24.04.2024 № 4233-ЗПО</w:t>
            </w:r>
            <w:r/>
          </w:p>
          <w:p>
            <w:pPr>
              <w:pStyle w:val="605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22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Соблюдаются ли требования к стационарности торгового объекта (объекта общественного питания) в котором осуществляется розничная продажа алкогольной продукции (розничная продажа алкогольной продукции при оказании услуг общественного питания)?</w:t>
            </w:r>
            <w:r/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05"/>
            </w:pPr>
            <w:r/>
            <w:hyperlink r:id="rId34" w:tooltip="http://internet.garant.ru/document/redirect/10105489/1610" w:history="1">
              <w:r>
                <w:rPr>
                  <w:rStyle w:val="601"/>
                </w:rPr>
                <w:t xml:space="preserve">Пункт 10 статьи 16</w:t>
              </w:r>
            </w:hyperlink>
            <w:r>
              <w:t xml:space="preserve"> Федерального закона № 171-ФЗ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23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</w:pPr>
            <w:r>
              <w:rPr>
                <w:highlight w:val="white"/>
              </w:rPr>
              <w:t xml:space="preserve">Соблюдаются ли требования к </w:t>
            </w:r>
            <w:r>
              <w:rPr>
                <w:highlight w:val="white"/>
              </w:rPr>
              <w:t xml:space="preserve">наличию </w:t>
            </w:r>
            <w:r>
              <w:t xml:space="preserve">документов, подтверждающих право использования торгового объекта (объекта общественного питания) в котором осуществляется розничная продажа алкогольной продукции (розничная продажа алкогольной продукции при оказании услуг общественного питания)?</w:t>
            </w:r>
            <w:r/>
          </w:p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05"/>
            </w:pPr>
            <w:r/>
            <w:hyperlink r:id="rId35" w:tooltip="http://internet.garant.ru/document/redirect/10105489/1610" w:history="1">
              <w:r>
                <w:rPr>
                  <w:rStyle w:val="601"/>
                </w:rPr>
                <w:t xml:space="preserve">Пункт 10 статьи 16</w:t>
              </w:r>
            </w:hyperlink>
            <w:r>
              <w:t xml:space="preserve"> </w:t>
            </w:r>
            <w:r>
              <w:t xml:space="preserve">Федерального закона № 171-ФЗ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24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</w:pPr>
            <w:r>
              <w:t xml:space="preserve">Соблюдаются ли требования к площади торгового </w:t>
            </w:r>
            <w:r>
              <w:t xml:space="preserve">объекта</w:t>
            </w:r>
            <w:r>
              <w:t xml:space="preserve">   в котором осуществляется розничная продажа алкогольной продукции?</w:t>
            </w:r>
            <w:r/>
          </w:p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05"/>
            </w:pPr>
            <w:r/>
            <w:hyperlink r:id="rId36" w:tooltip="http://internet.garant.ru/document/redirect/10105489/1610" w:history="1">
              <w:r>
                <w:rPr>
                  <w:rStyle w:val="601"/>
                </w:rPr>
                <w:t xml:space="preserve">Пункт 10 статьи 16</w:t>
              </w:r>
            </w:hyperlink>
            <w:r>
              <w:t xml:space="preserve"> Федерального закона № 171-ФЗ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603"/>
              <w:jc w:val="center"/>
            </w:pPr>
            <w:r>
              <w:t xml:space="preserve">25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605"/>
              <w:jc w:val="both"/>
            </w:pPr>
            <w:r>
              <w:t xml:space="preserve"> Соблюдается ли требования розничной продажи алкогольной продукции при оказа</w:t>
            </w:r>
            <w:r>
              <w:t xml:space="preserve">нии услуг общественного питания</w:t>
            </w:r>
            <w:r>
              <w:t xml:space="preserve"> в сезонном зале?</w:t>
            </w:r>
            <w:bookmarkStart w:id="5" w:name="_GoBack"/>
            <w:r/>
            <w:bookmarkEnd w:id="5"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05"/>
            </w:pPr>
            <w:r/>
            <w:hyperlink r:id="rId37" w:tooltip="http://internet.garant.ru/document/redirect/10105489/1610" w:history="1">
              <w:r>
                <w:rPr>
                  <w:rStyle w:val="601"/>
                </w:rPr>
                <w:t xml:space="preserve">Пункт 4 статьи 16</w:t>
              </w:r>
            </w:hyperlink>
            <w:r>
              <w:t xml:space="preserve"> Федерального закона № 171-ФЗ,</w:t>
            </w:r>
            <w:r/>
          </w:p>
          <w:p>
            <w:pPr>
              <w:ind w:firstLine="0"/>
            </w:pPr>
            <w:r>
              <w:t xml:space="preserve">Приказ Минсельхоза Пензенской обл</w:t>
            </w:r>
            <w:r>
              <w:t xml:space="preserve">асти</w:t>
            </w:r>
            <w:r>
              <w:t xml:space="preserve"> от 29.11.2024 </w:t>
            </w:r>
            <w:r>
              <w:t xml:space="preserve">№</w:t>
            </w:r>
            <w:r>
              <w:t xml:space="preserve"> 20-91</w:t>
            </w:r>
            <w:r/>
          </w:p>
          <w:p>
            <w:pPr>
              <w:ind w:firstLine="0"/>
            </w:pPr>
            <w:r>
              <w:t xml:space="preserve">«Об утв</w:t>
            </w:r>
            <w:r>
              <w:t xml:space="preserve">ерждении требований к размещению и обустройству сезонных залов (зон) обслуживания посетителей на территории Пензенской области, а также порядка выдачи документа, подтверждающего соответствие сезонного зала (зоны) обслуживания посетителей таким требованиям»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03"/>
            </w:pPr>
            <w:r/>
            <w:r/>
          </w:p>
        </w:tc>
      </w:tr>
    </w:tbl>
    <w:p>
      <w:r/>
      <w:r/>
    </w:p>
    <w:p>
      <w:r/>
      <w:bookmarkStart w:id="6" w:name="sub_11"/>
      <w:r>
        <w:rPr>
          <w:rStyle w:val="600"/>
        </w:rPr>
        <w:t xml:space="preserve">*</w:t>
      </w:r>
      <w:r>
        <w:t xml:space="preserve"> Указывается: «да», «нет» либо «неприменимо» - в случае, если требование на организацию не распространяется. </w:t>
      </w:r>
      <w:r/>
    </w:p>
    <w:p>
      <w:r>
        <w:rPr>
          <w:highlight w:val="white"/>
        </w:rPr>
        <w:t xml:space="preserve">*</w:t>
      </w:r>
      <w:r>
        <w:rPr>
          <w:highlight w:val="white"/>
        </w:rPr>
        <w:t xml:space="preserve">*</w:t>
      </w:r>
      <w:r>
        <w:rPr>
          <w:highlight w:val="white"/>
          <w:vertAlign w:val="superscript"/>
        </w:rPr>
        <w:t xml:space="preserve"> </w:t>
      </w:r>
      <w:r>
        <w:t xml:space="preserve">Графа «примечание» заполняется в обязательном порядке в случае заполнения графы «неприменимо».</w:t>
      </w:r>
      <w:bookmarkEnd w:id="6"/>
      <w:r/>
      <w:r/>
    </w:p>
    <w:p>
      <w:r/>
      <w:r/>
    </w:p>
    <w:sectPr>
      <w:headerReference w:type="default" r:id="rId8"/>
      <w:footerReference w:type="default" r:id="rId9"/>
      <w:footnotePr/>
      <w:type w:val="nextPage"/>
      <w:pgSz w:w="11900" w:h="16800" w:orient="portrait"/>
      <w:pgMar w:top="992" w:right="799" w:bottom="1440" w:left="1134" w:header="720" w:footer="720" w:gutter="0"/>
      <w:cols w:num="1" w:sep="0" w:space="720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Cambria">
    <w:panose1 w:val="02040503050406030204"/>
  </w:font>
  <w:font w:name="Arial">
    <w:panose1 w:val="020B0604020202020204"/>
  </w:font>
  <w:font w:name="Times New Roman CYR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Borders>
        <w:left w:val="single" w:sz="4" w:space="0" w:color="auto"/>
        <w:top w:val="single" w:sz="4" w:space="0" w:color="auto"/>
        <w:right w:val="single" w:sz="4" w:space="0" w:color="auto"/>
        <w:bottom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325"/>
      <w:gridCol w:w="3321"/>
      <w:gridCol w:w="3321"/>
    </w:tblGrid>
    <w:tr>
      <w:trPr/>
      <w:tc>
        <w:tcPr>
          <w:tcBorders>
            <w:left w:val="none" w:color="000000" w:sz="4" w:space="0"/>
            <w:top w:val="none" w:color="000000" w:sz="4" w:space="0"/>
            <w:right w:val="none" w:color="000000" w:sz="4" w:space="0"/>
            <w:bottom w:val="none" w:color="000000" w:sz="4" w:space="0"/>
          </w:tcBorders>
          <w:tcW w:w="3433" w:type="dxa"/>
          <w:textDirection w:val="lrTb"/>
          <w:noWrap w:val="false"/>
        </w:tcPr>
        <w:p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</w:r>
          <w:r/>
        </w:p>
      </w:tc>
      <w:tc>
        <w:tcPr>
          <w:tcBorders>
            <w:left w:val="none" w:color="000000" w:sz="4" w:space="0"/>
            <w:top w:val="none" w:color="000000" w:sz="4" w:space="0"/>
            <w:right w:val="none" w:color="000000" w:sz="4" w:space="0"/>
            <w:bottom w:val="none" w:color="000000" w:sz="4" w:space="0"/>
          </w:tcBorders>
          <w:tcW w:w="1666" w:type="pct"/>
          <w:textDirection w:val="lrTb"/>
          <w:noWrap w:val="false"/>
        </w:tcPr>
        <w:p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</w:r>
          <w:r/>
        </w:p>
      </w:tc>
      <w:tc>
        <w:tcPr>
          <w:tcBorders>
            <w:left w:val="none" w:color="000000" w:sz="4" w:space="0"/>
            <w:top w:val="none" w:color="000000" w:sz="4" w:space="0"/>
            <w:right w:val="none" w:color="000000" w:sz="4" w:space="0"/>
            <w:bottom w:val="none" w:color="000000" w:sz="4" w:space="0"/>
          </w:tcBorders>
          <w:tcW w:w="1666" w:type="pct"/>
          <w:textDirection w:val="lrTb"/>
          <w:noWrap w:val="false"/>
        </w:tcPr>
        <w:p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</w:r>
          <w:r/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1">
    <w:p>
      <w:pPr>
        <w:pStyle w:val="587"/>
      </w:pPr>
      <w:r>
        <w:rPr>
          <w:rStyle w:val="589"/>
        </w:rPr>
        <w:footnoteRef/>
      </w:r>
      <w:r>
        <w:t xml:space="preserve"> </w:t>
      </w:r>
      <w:r>
        <w:t xml:space="preserve">До 1 марта 2027 года в качестве сопроводительных документов, удостоверяющих легальность производства и оборота этилового спирта, алкогольной и спиртосодержащей продукции, допускается использовать товарно-транспортную накладную на бумажном носителе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476410604"/>
      <w:docPartObj>
        <w:docPartGallery w:val="Page Numbers (Top of Page)"/>
        <w:docPartUnique w:val="true"/>
      </w:docPartObj>
      <w:rPr/>
    </w:sdtPr>
    <w:sdtContent>
      <w:p>
        <w:pPr>
          <w:pStyle w:val="607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8</w:t>
        </w:r>
        <w:r>
          <w:fldChar w:fldCharType="end"/>
        </w:r>
        <w:r/>
      </w:p>
    </w:sdtContent>
  </w:sdt>
  <w:p>
    <w:pPr>
      <w:pStyle w:val="60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ru-RU" w:bidi="ar-SA" w:eastAsia="ru-RU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11" w:default="1">
    <w:name w:val="Normal"/>
    <w:qFormat/>
    <w:rPr>
      <w:rFonts w:ascii="Times New Roman CYR" w:hAnsi="Times New Roman CYR" w:cs="Times New Roman CYR"/>
      <w:sz w:val="24"/>
      <w:szCs w:val="24"/>
    </w:rPr>
    <w:pPr>
      <w:ind w:firstLine="720"/>
      <w:jc w:val="both"/>
      <w:spacing w:lineRule="auto" w:line="240" w:after="0"/>
      <w:widowControl w:val="off"/>
    </w:pPr>
  </w:style>
  <w:style w:type="paragraph" w:styleId="412">
    <w:name w:val="Heading 1"/>
    <w:basedOn w:val="411"/>
    <w:next w:val="411"/>
    <w:link w:val="602"/>
    <w:qFormat/>
    <w:uiPriority w:val="99"/>
    <w:rPr>
      <w:b/>
      <w:bCs/>
      <w:color w:val="26282F"/>
    </w:rPr>
    <w:pPr>
      <w:ind w:firstLine="0"/>
      <w:jc w:val="center"/>
      <w:spacing w:after="108" w:before="108"/>
      <w:outlineLvl w:val="0"/>
    </w:pPr>
  </w:style>
  <w:style w:type="paragraph" w:styleId="413">
    <w:name w:val="Heading 2"/>
    <w:basedOn w:val="411"/>
    <w:next w:val="411"/>
    <w:link w:val="438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414">
    <w:name w:val="Heading 3"/>
    <w:basedOn w:val="411"/>
    <w:next w:val="411"/>
    <w:link w:val="439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415">
    <w:name w:val="Heading 4"/>
    <w:basedOn w:val="411"/>
    <w:next w:val="411"/>
    <w:link w:val="440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416">
    <w:name w:val="Heading 5"/>
    <w:basedOn w:val="411"/>
    <w:next w:val="411"/>
    <w:link w:val="441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4"/>
    </w:pPr>
  </w:style>
  <w:style w:type="paragraph" w:styleId="417">
    <w:name w:val="Heading 6"/>
    <w:basedOn w:val="411"/>
    <w:next w:val="411"/>
    <w:link w:val="44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418">
    <w:name w:val="Heading 7"/>
    <w:basedOn w:val="411"/>
    <w:next w:val="411"/>
    <w:link w:val="44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419">
    <w:name w:val="Heading 8"/>
    <w:basedOn w:val="411"/>
    <w:next w:val="411"/>
    <w:link w:val="444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420">
    <w:name w:val="Heading 9"/>
    <w:basedOn w:val="411"/>
    <w:next w:val="411"/>
    <w:link w:val="44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21" w:default="1">
    <w:name w:val="Default Paragraph Font"/>
    <w:uiPriority w:val="1"/>
    <w:semiHidden/>
    <w:unhideWhenUsed/>
  </w:style>
  <w:style w:type="table" w:styleId="4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23" w:default="1">
    <w:name w:val="No List"/>
    <w:uiPriority w:val="99"/>
    <w:semiHidden/>
    <w:unhideWhenUsed/>
  </w:style>
  <w:style w:type="character" w:styleId="424" w:customStyle="1">
    <w:name w:val="Heading 2 Char"/>
    <w:basedOn w:val="421"/>
    <w:uiPriority w:val="9"/>
    <w:rPr>
      <w:rFonts w:ascii="Arial" w:hAnsi="Arial" w:cs="Arial" w:eastAsia="Arial"/>
      <w:sz w:val="34"/>
    </w:rPr>
  </w:style>
  <w:style w:type="character" w:styleId="425" w:customStyle="1">
    <w:name w:val="Heading 3 Char"/>
    <w:basedOn w:val="421"/>
    <w:uiPriority w:val="9"/>
    <w:rPr>
      <w:rFonts w:ascii="Arial" w:hAnsi="Arial" w:cs="Arial" w:eastAsia="Arial"/>
      <w:sz w:val="30"/>
      <w:szCs w:val="30"/>
    </w:rPr>
  </w:style>
  <w:style w:type="character" w:styleId="426" w:customStyle="1">
    <w:name w:val="Heading 4 Char"/>
    <w:basedOn w:val="421"/>
    <w:uiPriority w:val="9"/>
    <w:rPr>
      <w:rFonts w:ascii="Arial" w:hAnsi="Arial" w:cs="Arial" w:eastAsia="Arial"/>
      <w:b/>
      <w:bCs/>
      <w:sz w:val="26"/>
      <w:szCs w:val="26"/>
    </w:rPr>
  </w:style>
  <w:style w:type="character" w:styleId="427" w:customStyle="1">
    <w:name w:val="Heading 5 Char"/>
    <w:basedOn w:val="421"/>
    <w:uiPriority w:val="9"/>
    <w:rPr>
      <w:rFonts w:ascii="Arial" w:hAnsi="Arial" w:cs="Arial" w:eastAsia="Arial"/>
      <w:b/>
      <w:bCs/>
      <w:sz w:val="24"/>
      <w:szCs w:val="24"/>
    </w:rPr>
  </w:style>
  <w:style w:type="character" w:styleId="428" w:customStyle="1">
    <w:name w:val="Heading 6 Char"/>
    <w:basedOn w:val="421"/>
    <w:uiPriority w:val="9"/>
    <w:rPr>
      <w:rFonts w:ascii="Arial" w:hAnsi="Arial" w:cs="Arial" w:eastAsia="Arial"/>
      <w:b/>
      <w:bCs/>
      <w:sz w:val="22"/>
      <w:szCs w:val="22"/>
    </w:rPr>
  </w:style>
  <w:style w:type="character" w:styleId="429" w:customStyle="1">
    <w:name w:val="Heading 7 Char"/>
    <w:basedOn w:val="42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30" w:customStyle="1">
    <w:name w:val="Heading 8 Char"/>
    <w:basedOn w:val="421"/>
    <w:uiPriority w:val="9"/>
    <w:rPr>
      <w:rFonts w:ascii="Arial" w:hAnsi="Arial" w:cs="Arial" w:eastAsia="Arial"/>
      <w:i/>
      <w:iCs/>
      <w:sz w:val="22"/>
      <w:szCs w:val="22"/>
    </w:rPr>
  </w:style>
  <w:style w:type="character" w:styleId="431" w:customStyle="1">
    <w:name w:val="Heading 9 Char"/>
    <w:basedOn w:val="421"/>
    <w:uiPriority w:val="9"/>
    <w:rPr>
      <w:rFonts w:ascii="Arial" w:hAnsi="Arial" w:cs="Arial" w:eastAsia="Arial"/>
      <w:i/>
      <w:iCs/>
      <w:sz w:val="21"/>
      <w:szCs w:val="21"/>
    </w:rPr>
  </w:style>
  <w:style w:type="character" w:styleId="432" w:customStyle="1">
    <w:name w:val="Title Char"/>
    <w:basedOn w:val="421"/>
    <w:uiPriority w:val="10"/>
    <w:rPr>
      <w:sz w:val="48"/>
      <w:szCs w:val="48"/>
    </w:rPr>
  </w:style>
  <w:style w:type="character" w:styleId="433" w:customStyle="1">
    <w:name w:val="Subtitle Char"/>
    <w:basedOn w:val="421"/>
    <w:uiPriority w:val="11"/>
    <w:rPr>
      <w:sz w:val="24"/>
      <w:szCs w:val="24"/>
    </w:rPr>
  </w:style>
  <w:style w:type="character" w:styleId="434" w:customStyle="1">
    <w:name w:val="Quote Char"/>
    <w:uiPriority w:val="29"/>
    <w:rPr>
      <w:i/>
    </w:rPr>
  </w:style>
  <w:style w:type="character" w:styleId="435" w:customStyle="1">
    <w:name w:val="Intense Quote Char"/>
    <w:uiPriority w:val="30"/>
    <w:rPr>
      <w:i/>
    </w:rPr>
  </w:style>
  <w:style w:type="character" w:styleId="436" w:customStyle="1">
    <w:name w:val="Footnote Text Char"/>
    <w:uiPriority w:val="99"/>
    <w:rPr>
      <w:sz w:val="18"/>
    </w:rPr>
  </w:style>
  <w:style w:type="character" w:styleId="437" w:customStyle="1">
    <w:name w:val="Heading 1 Char"/>
    <w:basedOn w:val="421"/>
    <w:uiPriority w:val="9"/>
    <w:rPr>
      <w:rFonts w:ascii="Arial" w:hAnsi="Arial" w:cs="Arial" w:eastAsia="Arial"/>
      <w:sz w:val="40"/>
      <w:szCs w:val="40"/>
    </w:rPr>
  </w:style>
  <w:style w:type="character" w:styleId="438" w:customStyle="1">
    <w:name w:val="Заголовок 2 Знак"/>
    <w:basedOn w:val="421"/>
    <w:link w:val="413"/>
    <w:uiPriority w:val="9"/>
    <w:rPr>
      <w:rFonts w:ascii="Arial" w:hAnsi="Arial" w:cs="Arial" w:eastAsia="Arial"/>
      <w:sz w:val="34"/>
    </w:rPr>
  </w:style>
  <w:style w:type="character" w:styleId="439" w:customStyle="1">
    <w:name w:val="Заголовок 3 Знак"/>
    <w:basedOn w:val="421"/>
    <w:link w:val="414"/>
    <w:uiPriority w:val="9"/>
    <w:rPr>
      <w:rFonts w:ascii="Arial" w:hAnsi="Arial" w:cs="Arial" w:eastAsia="Arial"/>
      <w:sz w:val="30"/>
      <w:szCs w:val="30"/>
    </w:rPr>
  </w:style>
  <w:style w:type="character" w:styleId="440" w:customStyle="1">
    <w:name w:val="Заголовок 4 Знак"/>
    <w:basedOn w:val="421"/>
    <w:link w:val="415"/>
    <w:uiPriority w:val="9"/>
    <w:rPr>
      <w:rFonts w:ascii="Arial" w:hAnsi="Arial" w:cs="Arial" w:eastAsia="Arial"/>
      <w:b/>
      <w:bCs/>
      <w:sz w:val="26"/>
      <w:szCs w:val="26"/>
    </w:rPr>
  </w:style>
  <w:style w:type="character" w:styleId="441" w:customStyle="1">
    <w:name w:val="Заголовок 5 Знак"/>
    <w:basedOn w:val="421"/>
    <w:link w:val="416"/>
    <w:uiPriority w:val="9"/>
    <w:rPr>
      <w:rFonts w:ascii="Arial" w:hAnsi="Arial" w:cs="Arial" w:eastAsia="Arial"/>
      <w:b/>
      <w:bCs/>
      <w:sz w:val="24"/>
      <w:szCs w:val="24"/>
    </w:rPr>
  </w:style>
  <w:style w:type="character" w:styleId="442" w:customStyle="1">
    <w:name w:val="Заголовок 6 Знак"/>
    <w:basedOn w:val="421"/>
    <w:link w:val="417"/>
    <w:uiPriority w:val="9"/>
    <w:rPr>
      <w:rFonts w:ascii="Arial" w:hAnsi="Arial" w:cs="Arial" w:eastAsia="Arial"/>
      <w:b/>
      <w:bCs/>
      <w:sz w:val="22"/>
      <w:szCs w:val="22"/>
    </w:rPr>
  </w:style>
  <w:style w:type="character" w:styleId="443" w:customStyle="1">
    <w:name w:val="Заголовок 7 Знак"/>
    <w:basedOn w:val="421"/>
    <w:link w:val="41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44" w:customStyle="1">
    <w:name w:val="Заголовок 8 Знак"/>
    <w:basedOn w:val="421"/>
    <w:link w:val="419"/>
    <w:uiPriority w:val="9"/>
    <w:rPr>
      <w:rFonts w:ascii="Arial" w:hAnsi="Arial" w:cs="Arial" w:eastAsia="Arial"/>
      <w:i/>
      <w:iCs/>
      <w:sz w:val="22"/>
      <w:szCs w:val="22"/>
    </w:rPr>
  </w:style>
  <w:style w:type="character" w:styleId="445" w:customStyle="1">
    <w:name w:val="Заголовок 9 Знак"/>
    <w:basedOn w:val="421"/>
    <w:link w:val="420"/>
    <w:uiPriority w:val="9"/>
    <w:rPr>
      <w:rFonts w:ascii="Arial" w:hAnsi="Arial" w:cs="Arial" w:eastAsia="Arial"/>
      <w:i/>
      <w:iCs/>
      <w:sz w:val="21"/>
      <w:szCs w:val="21"/>
    </w:rPr>
  </w:style>
  <w:style w:type="paragraph" w:styleId="446">
    <w:name w:val="List Paragraph"/>
    <w:basedOn w:val="411"/>
    <w:qFormat/>
    <w:uiPriority w:val="34"/>
    <w:pPr>
      <w:contextualSpacing w:val="true"/>
      <w:ind w:left="720"/>
    </w:pPr>
  </w:style>
  <w:style w:type="paragraph" w:styleId="447">
    <w:name w:val="No Spacing"/>
    <w:qFormat/>
    <w:uiPriority w:val="1"/>
    <w:pPr>
      <w:spacing w:lineRule="auto" w:line="240" w:after="0"/>
    </w:pPr>
  </w:style>
  <w:style w:type="paragraph" w:styleId="448">
    <w:name w:val="Title"/>
    <w:basedOn w:val="411"/>
    <w:next w:val="411"/>
    <w:link w:val="449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49" w:customStyle="1">
    <w:name w:val="Название Знак"/>
    <w:basedOn w:val="421"/>
    <w:link w:val="448"/>
    <w:uiPriority w:val="10"/>
    <w:rPr>
      <w:sz w:val="48"/>
      <w:szCs w:val="48"/>
    </w:rPr>
  </w:style>
  <w:style w:type="paragraph" w:styleId="450">
    <w:name w:val="Subtitle"/>
    <w:basedOn w:val="411"/>
    <w:next w:val="411"/>
    <w:link w:val="451"/>
    <w:qFormat/>
    <w:uiPriority w:val="11"/>
    <w:pPr>
      <w:spacing w:after="200" w:before="200"/>
    </w:pPr>
  </w:style>
  <w:style w:type="character" w:styleId="451" w:customStyle="1">
    <w:name w:val="Подзаголовок Знак"/>
    <w:basedOn w:val="421"/>
    <w:link w:val="450"/>
    <w:uiPriority w:val="11"/>
    <w:rPr>
      <w:sz w:val="24"/>
      <w:szCs w:val="24"/>
    </w:rPr>
  </w:style>
  <w:style w:type="paragraph" w:styleId="452">
    <w:name w:val="Quote"/>
    <w:basedOn w:val="411"/>
    <w:next w:val="411"/>
    <w:link w:val="453"/>
    <w:qFormat/>
    <w:uiPriority w:val="29"/>
    <w:rPr>
      <w:i/>
    </w:rPr>
    <w:pPr>
      <w:ind w:left="720" w:right="720"/>
    </w:pPr>
  </w:style>
  <w:style w:type="character" w:styleId="453" w:customStyle="1">
    <w:name w:val="Цитата 2 Знак"/>
    <w:link w:val="452"/>
    <w:uiPriority w:val="29"/>
    <w:rPr>
      <w:i/>
    </w:rPr>
  </w:style>
  <w:style w:type="paragraph" w:styleId="454">
    <w:name w:val="Intense Quote"/>
    <w:basedOn w:val="411"/>
    <w:next w:val="411"/>
    <w:link w:val="455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55" w:customStyle="1">
    <w:name w:val="Выделенная цитата Знак"/>
    <w:link w:val="454"/>
    <w:uiPriority w:val="30"/>
    <w:rPr>
      <w:i/>
    </w:rPr>
  </w:style>
  <w:style w:type="character" w:styleId="456" w:customStyle="1">
    <w:name w:val="Header Char"/>
    <w:basedOn w:val="421"/>
    <w:uiPriority w:val="99"/>
  </w:style>
  <w:style w:type="character" w:styleId="457" w:customStyle="1">
    <w:name w:val="Footer Char"/>
    <w:basedOn w:val="421"/>
    <w:uiPriority w:val="99"/>
  </w:style>
  <w:style w:type="paragraph" w:styleId="458">
    <w:name w:val="Caption"/>
    <w:basedOn w:val="411"/>
    <w:next w:val="411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9" w:customStyle="1">
    <w:name w:val="Caption Char"/>
    <w:uiPriority w:val="99"/>
  </w:style>
  <w:style w:type="table" w:styleId="460">
    <w:name w:val="Table Grid"/>
    <w:basedOn w:val="422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1" w:customStyle="1">
    <w:name w:val="Table Grid Light"/>
    <w:basedOn w:val="422"/>
    <w:uiPriority w:val="59"/>
    <w:pPr>
      <w:spacing w:lineRule="auto" w:line="240" w:after="0"/>
    </w:pPr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2" w:customStyle="1">
    <w:name w:val="Plain Table 1"/>
    <w:basedOn w:val="422"/>
    <w:uiPriority w:val="59"/>
    <w:pPr>
      <w:spacing w:lineRule="auto" w:line="240" w:after="0"/>
    </w:pPr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63" w:customStyle="1">
    <w:name w:val="Plain Table 2"/>
    <w:basedOn w:val="42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64" w:customStyle="1">
    <w:name w:val="Plain Table 3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65" w:customStyle="1">
    <w:name w:val="Plain Table 4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6" w:customStyle="1">
    <w:name w:val="Plain Table 5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67" w:customStyle="1">
    <w:name w:val="Grid Table 1 Light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8" w:customStyle="1">
    <w:name w:val="Grid Table 1 Light - Accent 1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9" w:customStyle="1">
    <w:name w:val="Grid Table 1 Light - Accent 2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0" w:customStyle="1">
    <w:name w:val="Grid Table 1 Light - Accent 3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1" w:customStyle="1">
    <w:name w:val="Grid Table 1 Light - Accent 4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2" w:customStyle="1">
    <w:name w:val="Grid Table 1 Light - Accent 5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3" w:customStyle="1">
    <w:name w:val="Grid Table 1 Light - Accent 6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4" w:customStyle="1">
    <w:name w:val="Grid Table 2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75" w:customStyle="1">
    <w:name w:val="Grid Table 2 - Accent 1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76" w:customStyle="1">
    <w:name w:val="Grid Table 2 - Accent 2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7" w:customStyle="1">
    <w:name w:val="Grid Table 2 - Accent 3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8" w:customStyle="1">
    <w:name w:val="Grid Table 2 - Accent 4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9" w:customStyle="1">
    <w:name w:val="Grid Table 2 - Accent 5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0" w:customStyle="1">
    <w:name w:val="Grid Table 2 - Accent 6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1" w:customStyle="1">
    <w:name w:val="Grid Table 3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2" w:customStyle="1">
    <w:name w:val="Grid Table 3 - Accent 1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3" w:customStyle="1">
    <w:name w:val="Grid Table 3 - Accent 2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4" w:customStyle="1">
    <w:name w:val="Grid Table 3 - Accent 3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5" w:customStyle="1">
    <w:name w:val="Grid Table 3 - Accent 4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6" w:customStyle="1">
    <w:name w:val="Grid Table 3 - Accent 5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7" w:customStyle="1">
    <w:name w:val="Grid Table 3 - Accent 6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8" w:customStyle="1">
    <w:name w:val="Grid Table 4"/>
    <w:basedOn w:val="4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89" w:customStyle="1">
    <w:name w:val="Grid Table 4 - Accent 1"/>
    <w:basedOn w:val="4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90" w:customStyle="1">
    <w:name w:val="Grid Table 4 - Accent 2"/>
    <w:basedOn w:val="4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91" w:customStyle="1">
    <w:name w:val="Grid Table 4 - Accent 3"/>
    <w:basedOn w:val="4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92" w:customStyle="1">
    <w:name w:val="Grid Table 4 - Accent 4"/>
    <w:basedOn w:val="4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93" w:customStyle="1">
    <w:name w:val="Grid Table 4 - Accent 5"/>
    <w:basedOn w:val="4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94" w:customStyle="1">
    <w:name w:val="Grid Table 4 - Accent 6"/>
    <w:basedOn w:val="4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95" w:customStyle="1">
    <w:name w:val="Grid Table 5 Dark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96" w:customStyle="1">
    <w:name w:val="Grid Table 5 Dark- Accent 1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97" w:customStyle="1">
    <w:name w:val="Grid Table 5 Dark - Accent 2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98" w:customStyle="1">
    <w:name w:val="Grid Table 5 Dark - Accent 3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99" w:customStyle="1">
    <w:name w:val="Grid Table 5 Dark- Accent 4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500" w:customStyle="1">
    <w:name w:val="Grid Table 5 Dark - Accent 5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501" w:customStyle="1">
    <w:name w:val="Grid Table 5 Dark - Accent 6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502" w:customStyle="1">
    <w:name w:val="Grid Table 6 Colorful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03" w:customStyle="1">
    <w:name w:val="Grid Table 6 Colorful - Accent 1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504" w:customStyle="1">
    <w:name w:val="Grid Table 6 Colorful - Accent 2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505" w:customStyle="1">
    <w:name w:val="Grid Table 6 Colorful - Accent 3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506" w:customStyle="1">
    <w:name w:val="Grid Table 6 Colorful - Accent 4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507" w:customStyle="1">
    <w:name w:val="Grid Table 6 Colorful - Accent 5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08" w:customStyle="1">
    <w:name w:val="Grid Table 6 Colorful - Accent 6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09" w:customStyle="1">
    <w:name w:val="Grid Table 7 Colorful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10" w:customStyle="1">
    <w:name w:val="Grid Table 7 Colorful - Accent 1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11" w:customStyle="1">
    <w:name w:val="Grid Table 7 Colorful - Accent 2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12" w:customStyle="1">
    <w:name w:val="Grid Table 7 Colorful - Accent 3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13" w:customStyle="1">
    <w:name w:val="Grid Table 7 Colorful - Accent 4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14" w:customStyle="1">
    <w:name w:val="Grid Table 7 Colorful - Accent 5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15" w:customStyle="1">
    <w:name w:val="Grid Table 7 Colorful - Accent 6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16" w:customStyle="1">
    <w:name w:val="List Table 1 Light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17" w:customStyle="1">
    <w:name w:val="List Table 1 Light - Accent 1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18" w:customStyle="1">
    <w:name w:val="List Table 1 Light - Accent 2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19" w:customStyle="1">
    <w:name w:val="List Table 1 Light - Accent 3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20" w:customStyle="1">
    <w:name w:val="List Table 1 Light - Accent 4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21" w:customStyle="1">
    <w:name w:val="List Table 1 Light - Accent 5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22" w:customStyle="1">
    <w:name w:val="List Table 1 Light - Accent 6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23" w:customStyle="1">
    <w:name w:val="List Table 2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24" w:customStyle="1">
    <w:name w:val="List Table 2 - Accent 1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25" w:customStyle="1">
    <w:name w:val="List Table 2 - Accent 2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26" w:customStyle="1">
    <w:name w:val="List Table 2 - Accent 3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27" w:customStyle="1">
    <w:name w:val="List Table 2 - Accent 4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28" w:customStyle="1">
    <w:name w:val="List Table 2 - Accent 5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29" w:customStyle="1">
    <w:name w:val="List Table 2 - Accent 6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30" w:customStyle="1">
    <w:name w:val="List Table 3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1" w:customStyle="1">
    <w:name w:val="List Table 3 - Accent 1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2" w:customStyle="1">
    <w:name w:val="List Table 3 - Accent 2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3" w:customStyle="1">
    <w:name w:val="List Table 3 - Accent 3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4" w:customStyle="1">
    <w:name w:val="List Table 3 - Accent 4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5" w:customStyle="1">
    <w:name w:val="List Table 3 - Accent 5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6" w:customStyle="1">
    <w:name w:val="List Table 3 - Accent 6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7" w:customStyle="1">
    <w:name w:val="List Table 4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8" w:customStyle="1">
    <w:name w:val="List Table 4 - Accent 1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9" w:customStyle="1">
    <w:name w:val="List Table 4 - Accent 2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0" w:customStyle="1">
    <w:name w:val="List Table 4 - Accent 3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1" w:customStyle="1">
    <w:name w:val="List Table 4 - Accent 4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2" w:customStyle="1">
    <w:name w:val="List Table 4 - Accent 5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3" w:customStyle="1">
    <w:name w:val="List Table 4 - Accent 6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4" w:customStyle="1">
    <w:name w:val="List Table 5 Dark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5" w:customStyle="1">
    <w:name w:val="List Table 5 Dark - Accent 1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6" w:customStyle="1">
    <w:name w:val="List Table 5 Dark - Accent 2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7" w:customStyle="1">
    <w:name w:val="List Table 5 Dark - Accent 3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8" w:customStyle="1">
    <w:name w:val="List Table 5 Dark - Accent 4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9" w:customStyle="1">
    <w:name w:val="List Table 5 Dark - Accent 5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50" w:customStyle="1">
    <w:name w:val="List Table 5 Dark - Accent 6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51" w:customStyle="1">
    <w:name w:val="List Table 6 Colorful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52" w:customStyle="1">
    <w:name w:val="List Table 6 Colorful - Accent 1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53" w:customStyle="1">
    <w:name w:val="List Table 6 Colorful - Accent 2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54" w:customStyle="1">
    <w:name w:val="List Table 6 Colorful - Accent 3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55" w:customStyle="1">
    <w:name w:val="List Table 6 Colorful - Accent 4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56" w:customStyle="1">
    <w:name w:val="List Table 6 Colorful - Accent 5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57" w:customStyle="1">
    <w:name w:val="List Table 6 Colorful - Accent 6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58" w:customStyle="1">
    <w:name w:val="List Table 7 Colorful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59" w:customStyle="1">
    <w:name w:val="List Table 7 Colorful - Accent 1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60" w:customStyle="1">
    <w:name w:val="List Table 7 Colorful - Accent 2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61" w:customStyle="1">
    <w:name w:val="List Table 7 Colorful - Accent 3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62" w:customStyle="1">
    <w:name w:val="List Table 7 Colorful - Accent 4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63" w:customStyle="1">
    <w:name w:val="List Table 7 Colorful - Accent 5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64" w:customStyle="1">
    <w:name w:val="List Table 7 Colorful - Accent 6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65" w:customStyle="1">
    <w:name w:val="Lined - Accent"/>
    <w:basedOn w:val="422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66" w:customStyle="1">
    <w:name w:val="Lined - Accent 1"/>
    <w:basedOn w:val="422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67" w:customStyle="1">
    <w:name w:val="Lined - Accent 2"/>
    <w:basedOn w:val="422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8" w:customStyle="1">
    <w:name w:val="Lined - Accent 3"/>
    <w:basedOn w:val="422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9" w:customStyle="1">
    <w:name w:val="Lined - Accent 4"/>
    <w:basedOn w:val="422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70" w:customStyle="1">
    <w:name w:val="Lined - Accent 5"/>
    <w:basedOn w:val="422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71" w:customStyle="1">
    <w:name w:val="Lined - Accent 6"/>
    <w:basedOn w:val="422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72" w:customStyle="1">
    <w:name w:val="Bordered &amp; Lined - Accent"/>
    <w:basedOn w:val="422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73" w:customStyle="1">
    <w:name w:val="Bordered &amp; Lined - Accent 1"/>
    <w:basedOn w:val="422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74" w:customStyle="1">
    <w:name w:val="Bordered &amp; Lined - Accent 2"/>
    <w:basedOn w:val="422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75" w:customStyle="1">
    <w:name w:val="Bordered &amp; Lined - Accent 3"/>
    <w:basedOn w:val="422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76" w:customStyle="1">
    <w:name w:val="Bordered &amp; Lined - Accent 4"/>
    <w:basedOn w:val="422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77" w:customStyle="1">
    <w:name w:val="Bordered &amp; Lined - Accent 5"/>
    <w:basedOn w:val="422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78" w:customStyle="1">
    <w:name w:val="Bordered &amp; Lined - Accent 6"/>
    <w:basedOn w:val="422"/>
    <w:uiPriority w:val="99"/>
    <w:rPr>
      <w:color w:val="404040"/>
      <w:sz w:val="20"/>
      <w:szCs w:val="2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79" w:customStyle="1">
    <w:name w:val="Bordered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80" w:customStyle="1">
    <w:name w:val="Bordered - Accent 1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81" w:customStyle="1">
    <w:name w:val="Bordered - Accent 2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82" w:customStyle="1">
    <w:name w:val="Bordered - Accent 3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83" w:customStyle="1">
    <w:name w:val="Bordered - Accent 4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84" w:customStyle="1">
    <w:name w:val="Bordered - Accent 5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85" w:customStyle="1">
    <w:name w:val="Bordered - Accent 6"/>
    <w:basedOn w:val="4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86">
    <w:name w:val="Hyperlink"/>
    <w:uiPriority w:val="99"/>
    <w:unhideWhenUsed/>
    <w:rPr>
      <w:color w:val="0000FF" w:themeColor="hyperlink"/>
      <w:u w:val="single"/>
    </w:rPr>
  </w:style>
  <w:style w:type="paragraph" w:styleId="587">
    <w:name w:val="footnote text"/>
    <w:basedOn w:val="411"/>
    <w:link w:val="588"/>
    <w:uiPriority w:val="99"/>
    <w:semiHidden/>
    <w:unhideWhenUsed/>
    <w:rPr>
      <w:sz w:val="18"/>
    </w:rPr>
    <w:pPr>
      <w:spacing w:after="40"/>
    </w:pPr>
  </w:style>
  <w:style w:type="character" w:styleId="588" w:customStyle="1">
    <w:name w:val="Текст сноски Знак"/>
    <w:link w:val="587"/>
    <w:uiPriority w:val="99"/>
    <w:rPr>
      <w:sz w:val="18"/>
    </w:rPr>
  </w:style>
  <w:style w:type="character" w:styleId="589">
    <w:name w:val="footnote reference"/>
    <w:basedOn w:val="421"/>
    <w:uiPriority w:val="99"/>
    <w:unhideWhenUsed/>
    <w:rPr>
      <w:vertAlign w:val="superscript"/>
    </w:rPr>
  </w:style>
  <w:style w:type="paragraph" w:styleId="590">
    <w:name w:val="toc 1"/>
    <w:basedOn w:val="411"/>
    <w:next w:val="411"/>
    <w:uiPriority w:val="39"/>
    <w:unhideWhenUsed/>
    <w:pPr>
      <w:ind w:firstLine="0"/>
      <w:spacing w:after="57"/>
    </w:pPr>
  </w:style>
  <w:style w:type="paragraph" w:styleId="591">
    <w:name w:val="toc 2"/>
    <w:basedOn w:val="411"/>
    <w:next w:val="411"/>
    <w:uiPriority w:val="39"/>
    <w:unhideWhenUsed/>
    <w:pPr>
      <w:ind w:left="283" w:firstLine="0"/>
      <w:spacing w:after="57"/>
    </w:pPr>
  </w:style>
  <w:style w:type="paragraph" w:styleId="592">
    <w:name w:val="toc 3"/>
    <w:basedOn w:val="411"/>
    <w:next w:val="411"/>
    <w:uiPriority w:val="39"/>
    <w:unhideWhenUsed/>
    <w:pPr>
      <w:ind w:left="567" w:firstLine="0"/>
      <w:spacing w:after="57"/>
    </w:pPr>
  </w:style>
  <w:style w:type="paragraph" w:styleId="593">
    <w:name w:val="toc 4"/>
    <w:basedOn w:val="411"/>
    <w:next w:val="411"/>
    <w:uiPriority w:val="39"/>
    <w:unhideWhenUsed/>
    <w:pPr>
      <w:ind w:left="850" w:firstLine="0"/>
      <w:spacing w:after="57"/>
    </w:pPr>
  </w:style>
  <w:style w:type="paragraph" w:styleId="594">
    <w:name w:val="toc 5"/>
    <w:basedOn w:val="411"/>
    <w:next w:val="411"/>
    <w:uiPriority w:val="39"/>
    <w:unhideWhenUsed/>
    <w:pPr>
      <w:ind w:left="1134" w:firstLine="0"/>
      <w:spacing w:after="57"/>
    </w:pPr>
  </w:style>
  <w:style w:type="paragraph" w:styleId="595">
    <w:name w:val="toc 6"/>
    <w:basedOn w:val="411"/>
    <w:next w:val="411"/>
    <w:uiPriority w:val="39"/>
    <w:unhideWhenUsed/>
    <w:pPr>
      <w:ind w:left="1417" w:firstLine="0"/>
      <w:spacing w:after="57"/>
    </w:pPr>
  </w:style>
  <w:style w:type="paragraph" w:styleId="596">
    <w:name w:val="toc 7"/>
    <w:basedOn w:val="411"/>
    <w:next w:val="411"/>
    <w:uiPriority w:val="39"/>
    <w:unhideWhenUsed/>
    <w:pPr>
      <w:ind w:left="1701" w:firstLine="0"/>
      <w:spacing w:after="57"/>
    </w:pPr>
  </w:style>
  <w:style w:type="paragraph" w:styleId="597">
    <w:name w:val="toc 8"/>
    <w:basedOn w:val="411"/>
    <w:next w:val="411"/>
    <w:uiPriority w:val="39"/>
    <w:unhideWhenUsed/>
    <w:pPr>
      <w:ind w:left="1984" w:firstLine="0"/>
      <w:spacing w:after="57"/>
    </w:pPr>
  </w:style>
  <w:style w:type="paragraph" w:styleId="598">
    <w:name w:val="toc 9"/>
    <w:basedOn w:val="411"/>
    <w:next w:val="411"/>
    <w:uiPriority w:val="39"/>
    <w:unhideWhenUsed/>
    <w:pPr>
      <w:ind w:left="2268" w:firstLine="0"/>
      <w:spacing w:after="57"/>
    </w:pPr>
  </w:style>
  <w:style w:type="paragraph" w:styleId="599">
    <w:name w:val="TOC Heading"/>
    <w:uiPriority w:val="39"/>
    <w:unhideWhenUsed/>
  </w:style>
  <w:style w:type="character" w:styleId="600" w:customStyle="1">
    <w:name w:val="Цветовое выделение"/>
    <w:uiPriority w:val="99"/>
    <w:rPr>
      <w:b/>
      <w:bCs/>
      <w:color w:val="26282F"/>
    </w:rPr>
  </w:style>
  <w:style w:type="character" w:styleId="601" w:customStyle="1">
    <w:name w:val="Гипертекстовая ссылка"/>
    <w:basedOn w:val="600"/>
    <w:uiPriority w:val="99"/>
    <w:rPr>
      <w:b/>
      <w:bCs/>
      <w:color w:val="106BBE"/>
    </w:rPr>
  </w:style>
  <w:style w:type="character" w:styleId="602" w:customStyle="1">
    <w:name w:val="Заголовок 1 Знак"/>
    <w:basedOn w:val="421"/>
    <w:link w:val="412"/>
    <w:uiPriority w:val="9"/>
    <w:rPr>
      <w:rFonts w:ascii="Cambria" w:hAnsi="Cambria" w:cs="Cambria" w:eastAsia="Cambria"/>
      <w:b/>
      <w:bCs/>
      <w:sz w:val="32"/>
      <w:szCs w:val="32"/>
    </w:rPr>
  </w:style>
  <w:style w:type="paragraph" w:styleId="603" w:customStyle="1">
    <w:name w:val="Нормальный (таблица)"/>
    <w:basedOn w:val="411"/>
    <w:next w:val="411"/>
    <w:uiPriority w:val="99"/>
    <w:pPr>
      <w:ind w:firstLine="0"/>
    </w:pPr>
  </w:style>
  <w:style w:type="paragraph" w:styleId="604" w:customStyle="1">
    <w:name w:val="Таблицы (моноширинный)"/>
    <w:basedOn w:val="411"/>
    <w:next w:val="411"/>
    <w:uiPriority w:val="99"/>
    <w:rPr>
      <w:rFonts w:ascii="Courier New" w:hAnsi="Courier New" w:cs="Courier New"/>
    </w:rPr>
    <w:pPr>
      <w:ind w:firstLine="0"/>
      <w:jc w:val="left"/>
    </w:pPr>
  </w:style>
  <w:style w:type="paragraph" w:styleId="605" w:customStyle="1">
    <w:name w:val="Прижатый влево"/>
    <w:basedOn w:val="411"/>
    <w:next w:val="411"/>
    <w:uiPriority w:val="99"/>
    <w:pPr>
      <w:ind w:firstLine="0"/>
      <w:jc w:val="left"/>
    </w:pPr>
  </w:style>
  <w:style w:type="character" w:styleId="606" w:customStyle="1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607">
    <w:name w:val="Header"/>
    <w:basedOn w:val="411"/>
    <w:link w:val="60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08" w:customStyle="1">
    <w:name w:val="Верхний колонтитул Знак"/>
    <w:basedOn w:val="421"/>
    <w:link w:val="607"/>
    <w:uiPriority w:val="99"/>
    <w:rPr>
      <w:rFonts w:ascii="Times New Roman CYR" w:hAnsi="Times New Roman CYR" w:cs="Times New Roman CYR"/>
      <w:sz w:val="24"/>
      <w:szCs w:val="24"/>
    </w:rPr>
  </w:style>
  <w:style w:type="paragraph" w:styleId="609">
    <w:name w:val="Footer"/>
    <w:basedOn w:val="411"/>
    <w:link w:val="61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10" w:customStyle="1">
    <w:name w:val="Нижний колонтитул Знак"/>
    <w:basedOn w:val="421"/>
    <w:link w:val="609"/>
    <w:uiPriority w:val="99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hyperlink" Target="http://internet.garant.ru/document/redirect/10105489/160" TargetMode="External"/><Relationship Id="rId11" Type="http://schemas.openxmlformats.org/officeDocument/2006/relationships/hyperlink" Target="http://internet.garant.ru/document/redirect/10105489/164" TargetMode="External"/><Relationship Id="rId12" Type="http://schemas.openxmlformats.org/officeDocument/2006/relationships/hyperlink" Target="http://internet.garant.ru/document/redirect/10105489/164" TargetMode="External"/><Relationship Id="rId13" Type="http://schemas.openxmlformats.org/officeDocument/2006/relationships/hyperlink" Target="http://internet.garant.ru/document/redirect/10105489/1602" TargetMode="External"/><Relationship Id="rId14" Type="http://schemas.openxmlformats.org/officeDocument/2006/relationships/hyperlink" Target="http://internet.garant.ru/document/redirect/10105489/163" TargetMode="External"/><Relationship Id="rId15" Type="http://schemas.openxmlformats.org/officeDocument/2006/relationships/hyperlink" Target="http://internet.garant.ru/document/redirect/10105489/165" TargetMode="External"/><Relationship Id="rId16" Type="http://schemas.openxmlformats.org/officeDocument/2006/relationships/hyperlink" Target="http://internet.garant.ru/document/redirect/10105489/1660" TargetMode="External"/><Relationship Id="rId17" Type="http://schemas.openxmlformats.org/officeDocument/2006/relationships/hyperlink" Target="http://internet.garant.ru/document/redirect/10105489/1610" TargetMode="External"/><Relationship Id="rId18" Type="http://schemas.openxmlformats.org/officeDocument/2006/relationships/hyperlink" Target="http://internet.garant.ru/document/redirect/10105489/802" TargetMode="External"/><Relationship Id="rId19" Type="http://schemas.openxmlformats.org/officeDocument/2006/relationships/hyperlink" Target="consultantplus://offline/ref=A08C7905E49F12998AA0F6D6D41BED356F3E35384EFB1EC82A305C82122949CDA0B10F2C0F8D7CF54824A28EDC36B99CB567D0F46Ae0WCL" TargetMode="External"/><Relationship Id="rId20" Type="http://schemas.openxmlformats.org/officeDocument/2006/relationships/hyperlink" Target="http://internet.garant.ru/document/redirect/10105489/802" TargetMode="External"/><Relationship Id="rId21" Type="http://schemas.openxmlformats.org/officeDocument/2006/relationships/hyperlink" Target="http://internet.garant.ru/document/redirect/10105489/1002" TargetMode="External"/><Relationship Id="rId22" Type="http://schemas.openxmlformats.org/officeDocument/2006/relationships/hyperlink" Target="http://internet.garant.ru/document/redirect/10105489/162012" TargetMode="External"/><Relationship Id="rId23" Type="http://schemas.openxmlformats.org/officeDocument/2006/relationships/hyperlink" Target="http://internet.garant.ru/document/redirect/10105489/1101" TargetMode="External"/><Relationship Id="rId24" Type="http://schemas.openxmlformats.org/officeDocument/2006/relationships/hyperlink" Target="http://internet.garant.ru/document/redirect/10105489/1105" TargetMode="External"/><Relationship Id="rId25" Type="http://schemas.openxmlformats.org/officeDocument/2006/relationships/hyperlink" Target="http://internet.garant.ru/document/redirect/10105489/1161" TargetMode="External"/><Relationship Id="rId26" Type="http://schemas.openxmlformats.org/officeDocument/2006/relationships/hyperlink" Target="consultantplus://offline/ref=FB9DF5CC26032F2779D68C22C55E23F69423EBD9DEB72808919323B52303624E9F360F37DC37FAF8286420F69390F73A1C7A00DBB7A011EDC1N9N" TargetMode="External"/><Relationship Id="rId27" Type="http://schemas.openxmlformats.org/officeDocument/2006/relationships/hyperlink" Target="consultantplus://offline/ref=A08C7905E49F12998AA0F6D6D41BED356F3E35384EFB1EC82A305C82122949CDA0B10F2E078A7FA6186BA3D29966AA9CB267D3F6760FD21De9W0L" TargetMode="External"/><Relationship Id="rId28" Type="http://schemas.openxmlformats.org/officeDocument/2006/relationships/hyperlink" Target="http://internet.garant.ru/document/redirect/10105489/27" TargetMode="External"/><Relationship Id="rId29" Type="http://schemas.openxmlformats.org/officeDocument/2006/relationships/hyperlink" Target="http://internet.garant.ru/document/redirect/10105489/162011" TargetMode="External"/><Relationship Id="rId30" Type="http://schemas.openxmlformats.org/officeDocument/2006/relationships/hyperlink" Target="http://internet.garant.ru/document/redirect/10105489/164" TargetMode="External"/><Relationship Id="rId31" Type="http://schemas.openxmlformats.org/officeDocument/2006/relationships/hyperlink" Target="http://internet.garant.ru/document/redirect/74687276/1012" TargetMode="External"/><Relationship Id="rId32" Type="http://schemas.openxmlformats.org/officeDocument/2006/relationships/hyperlink" Target="http://internet.garant.ru/document/redirect/74687276/0" TargetMode="External"/><Relationship Id="rId33" Type="http://schemas.openxmlformats.org/officeDocument/2006/relationships/hyperlink" Target="http://internet.garant.ru/document/redirect/10105489/1610" TargetMode="External"/><Relationship Id="rId34" Type="http://schemas.openxmlformats.org/officeDocument/2006/relationships/hyperlink" Target="http://internet.garant.ru/document/redirect/10105489/1610" TargetMode="External"/><Relationship Id="rId35" Type="http://schemas.openxmlformats.org/officeDocument/2006/relationships/hyperlink" Target="http://internet.garant.ru/document/redirect/10105489/1610" TargetMode="External"/><Relationship Id="rId36" Type="http://schemas.openxmlformats.org/officeDocument/2006/relationships/hyperlink" Target="http://internet.garant.ru/document/redirect/10105489/1610" TargetMode="External"/><Relationship Id="rId37" Type="http://schemas.openxmlformats.org/officeDocument/2006/relationships/hyperlink" Target="http://internet.garant.ru/document/redirect/10105489/1610" TargetMode="External"/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>НПП "Гарант-Сервис"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revision>17</cp:revision>
  <dcterms:created xsi:type="dcterms:W3CDTF">2021-12-13T09:13:00Z</dcterms:created>
  <dcterms:modified xsi:type="dcterms:W3CDTF">2026-05-21T14:27:08Z</dcterms:modified>
</cp:coreProperties>
</file>