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3F" w:rsidRDefault="00C13A3F">
      <w:pPr>
        <w:pStyle w:val="ConsPlusTitle"/>
        <w:jc w:val="center"/>
      </w:pPr>
      <w:bookmarkStart w:id="0" w:name="_GoBack"/>
      <w:bookmarkEnd w:id="0"/>
      <w:r>
        <w:t>МИНИСТЕРСТВО СЕЛЬСКОГО ХОЗЯЙСТВА</w:t>
      </w:r>
    </w:p>
    <w:p w:rsidR="00C13A3F" w:rsidRDefault="00C13A3F">
      <w:pPr>
        <w:pStyle w:val="ConsPlusTitle"/>
        <w:jc w:val="center"/>
      </w:pPr>
      <w:r>
        <w:t>ПЕНЗЕНСКОЙ ОБЛАСТИ</w:t>
      </w:r>
    </w:p>
    <w:p w:rsidR="00C13A3F" w:rsidRDefault="00C13A3F">
      <w:pPr>
        <w:pStyle w:val="ConsPlusTitle"/>
        <w:jc w:val="center"/>
      </w:pPr>
    </w:p>
    <w:p w:rsidR="00C13A3F" w:rsidRDefault="00C13A3F">
      <w:pPr>
        <w:pStyle w:val="ConsPlusTitle"/>
        <w:jc w:val="center"/>
      </w:pPr>
      <w:r>
        <w:t>ПРИКАЗ</w:t>
      </w:r>
    </w:p>
    <w:p w:rsidR="00C13A3F" w:rsidRDefault="00C13A3F">
      <w:pPr>
        <w:pStyle w:val="ConsPlusTitle"/>
        <w:jc w:val="center"/>
      </w:pPr>
      <w:r>
        <w:t>от 3 апреля 2026 г. N 20-23</w:t>
      </w:r>
    </w:p>
    <w:p w:rsidR="00C13A3F" w:rsidRDefault="00C13A3F">
      <w:pPr>
        <w:pStyle w:val="ConsPlusTitle"/>
        <w:jc w:val="center"/>
      </w:pPr>
    </w:p>
    <w:p w:rsidR="00C13A3F" w:rsidRDefault="00C13A3F">
      <w:pPr>
        <w:pStyle w:val="ConsPlusTitle"/>
        <w:jc w:val="center"/>
      </w:pPr>
      <w:r>
        <w:t>ОБ УТВЕРЖДЕНИИ РАЗМЕРОВ ОТДЕЛЬНЫХ ВИДОВ СУБСИДИЙ И ГРАНТОВ</w:t>
      </w:r>
    </w:p>
    <w:p w:rsidR="00C13A3F" w:rsidRDefault="00C13A3F">
      <w:pPr>
        <w:pStyle w:val="ConsPlusNormal"/>
        <w:jc w:val="both"/>
      </w:pPr>
    </w:p>
    <w:p w:rsidR="00C13A3F" w:rsidRDefault="00C13A3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развитие сельского туризма, предусмотренными приложением N 12, и </w:t>
      </w:r>
      <w:hyperlink r:id="rId6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предусмотренными приложением N 22(4) к Государственной программе развития сельского хозяйства и регулирования рынков сельскохозяйственной продукции, сырья и</w:t>
      </w:r>
      <w:proofErr w:type="gramEnd"/>
      <w:r>
        <w:t xml:space="preserve"> </w:t>
      </w:r>
      <w:proofErr w:type="gramStart"/>
      <w:r>
        <w:t xml:space="preserve">продовольствия, утвержденной постановлением Правительства Российской Федерации от 14.07.2012 N 717 (с последующими изменениями),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8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</w:t>
      </w:r>
      <w:proofErr w:type="gramEnd"/>
      <w:r>
        <w:t xml:space="preserve"> области, утвержденным постановлением Правительства Пензенской области от 10.02.2009 N 99-пП (с последующими изменениями), приказываю: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 Утвердить: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1.1. Размер средств субсидии на финансовое обеспечение (возмещение) части затрат, связанных с приобретением имущества и выполнением работ (услуг) с целью развития сельского туризма, - не более 5 млн. рублей на одного заявителя;</w:t>
      </w:r>
    </w:p>
    <w:p w:rsidR="00C13A3F" w:rsidRDefault="00C13A3F">
      <w:pPr>
        <w:pStyle w:val="ConsPlusNormal"/>
        <w:spacing w:before="280"/>
        <w:ind w:firstLine="540"/>
        <w:jc w:val="both"/>
      </w:pPr>
      <w:bookmarkStart w:id="1" w:name="P12"/>
      <w:bookmarkEnd w:id="1"/>
      <w:r>
        <w:t>1.2. Размеры сре</w:t>
      </w:r>
      <w:proofErr w:type="gramStart"/>
      <w:r>
        <w:t>дств гр</w:t>
      </w:r>
      <w:proofErr w:type="gramEnd"/>
      <w:r>
        <w:t>анта на развитие крестьянского (фермерского) хозяйства: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1.2.1. до 5 млн. рублей (включительно) -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1.2.2. до 8 млн. рублей (включительно) - при направлении на реализацию проекта грантополучателя собственных средств заявителя в размере не менее </w:t>
      </w:r>
      <w:r>
        <w:lastRenderedPageBreak/>
        <w:t>20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1.2.3. до 15 млн. рублей (включительно) -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1.2.4. до 30 млн. рублей (включительно) -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1.3. Размер средств субсидии на финансовое обеспечение (возмещение) затрат крестьянского (фермерского) хозяйства не более 20 млн. рублей на одного 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1.4. Размеры сре</w:t>
      </w:r>
      <w:proofErr w:type="gramStart"/>
      <w:r>
        <w:t>дств гр</w:t>
      </w:r>
      <w:proofErr w:type="gramEnd"/>
      <w:r>
        <w:t>анта "</w:t>
      </w:r>
      <w:proofErr w:type="spellStart"/>
      <w:r>
        <w:t>Агромотиватор</w:t>
      </w:r>
      <w:proofErr w:type="spellEnd"/>
      <w:r>
        <w:t>":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1.4.1. до 7 млн. рублей - на реализацию проекта грантополучателя, направленного на разведение крупного рогатого скота и (или) мелкого рогатого скота;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1.4.2. до 5 млн. рублей - на реализацию проекта грантополучателя, направленного на иные виды деятельности.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1.5. Размер сре</w:t>
      </w:r>
      <w:proofErr w:type="gramStart"/>
      <w:r>
        <w:t>дств гр</w:t>
      </w:r>
      <w:proofErr w:type="gramEnd"/>
      <w:r>
        <w:t>анта на развитие сельскохозяйственного потребительского кооператива: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1.5.1. до 10 млн. рублей (включительно) -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1.5.2. до 30 млн. рублей (включительно) -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1.5.3. до 50 млн. рублей (включительно) -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1.5.4. до 70 млн. рублей (включительно) -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1.6. Размеры средств субсидии на финансовое обеспечение (возмещение) части затрат, понесенных сельскохозяйственным потребительским кооперативом в текущем финансовом году: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lastRenderedPageBreak/>
        <w:t>1.6.1. связанных с приобретением имущества в целях последующей передачи (реализации) приобретенного имущества в собственность членов (кроме ассоциированных членов) сельскохозяйственного потребительского кооператива, - в размере не более 3 млн. рублей из расчета на один сельскохозяйственный потребительский кооператив;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1.6.2. связанных с приобретением крупного рогатого скота, мелкого рогатого скота в целях замены больных или инфицированных лейкозом, бруцеллезом, оспой сельскохозяйственных животных, принадлежащих членам (кроме ассоциированных членов) указанного сельскохозяйственного потребительского кооператива на праве собственности, - в размере не более 10 млн. рублей из расчета на один сельскохозяйственный потребительский кооператив;</w:t>
      </w:r>
    </w:p>
    <w:p w:rsidR="00C13A3F" w:rsidRDefault="00C13A3F">
      <w:pPr>
        <w:pStyle w:val="ConsPlusNormal"/>
        <w:spacing w:before="280"/>
        <w:ind w:firstLine="540"/>
        <w:jc w:val="both"/>
      </w:pPr>
      <w:proofErr w:type="gramStart"/>
      <w:r>
        <w:t>1.6.3. связанных с приобретением и последующим внесением в неделимый фонд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кооператива, - в размере не более 10 млн. рублей из расчета на один сельскохозяйственный потребительский кооператив;</w:t>
      </w:r>
      <w:proofErr w:type="gramEnd"/>
    </w:p>
    <w:p w:rsidR="00C13A3F" w:rsidRDefault="00C13A3F">
      <w:pPr>
        <w:pStyle w:val="ConsPlusNormal"/>
        <w:spacing w:before="280"/>
        <w:ind w:firstLine="540"/>
        <w:jc w:val="both"/>
      </w:pPr>
      <w:r>
        <w:t>1.6.4. связанных с уплатой лизинговых платежей за приобретенные в лизинг объекты для организации хранения, переработки, упаковки, маркировки и реализации сельскохозяйственной продукции, а также оборудования для их комплектации, - в размере не более 5 млн. рублей из расчета на один сельскохозяйственный потребительский кооператив;</w:t>
      </w:r>
    </w:p>
    <w:p w:rsidR="00C13A3F" w:rsidRDefault="00C13A3F">
      <w:pPr>
        <w:pStyle w:val="ConsPlusNormal"/>
        <w:spacing w:before="280"/>
        <w:ind w:firstLine="540"/>
        <w:jc w:val="both"/>
      </w:pPr>
      <w:proofErr w:type="gramStart"/>
      <w:r>
        <w:t>1.6.5. связанных с закупкой сельскохозяйственной продукции (кроме мяса свиней и свиней на убой) и (или) собранных дикорастущих плодов, ягод, орехов, грибов, других пригодных для употребления в пищу лесных ресурсов (далее - пищевые лесные ресурсы) у членов сельскохозяйственного потребительского кооператива (кроме ассоциированных членов) и (или) у граждан, ведущих личное подсобное хозяйство, не являющихся членами этого сельскохозяйственного потребительского кооператива, - в размере не более</w:t>
      </w:r>
      <w:proofErr w:type="gramEnd"/>
      <w:r>
        <w:t xml:space="preserve"> 20 млн. рублей из расчета на один сельскохозяйственный потребительский кооператив;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1.7. Размеры сре</w:t>
      </w:r>
      <w:proofErr w:type="gramStart"/>
      <w:r>
        <w:t>дств гр</w:t>
      </w:r>
      <w:proofErr w:type="gramEnd"/>
      <w:r>
        <w:t>анта "Агропрогресс", не превышающие 30 млн. рублей;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1.8. Размеры средств субсидии на финансовое обеспечение (возмещение) до 60 процентов затрат, связанных с реализацией проекта по внедрению </w:t>
      </w:r>
      <w:proofErr w:type="spellStart"/>
      <w:r>
        <w:t>газопоршневой</w:t>
      </w:r>
      <w:proofErr w:type="spellEnd"/>
      <w:r>
        <w:t xml:space="preserve"> установки - не более 10 млн. рублей на одного 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lastRenderedPageBreak/>
        <w:t>1.9. Размер гранта на реализацию проекта по организации малой сельской пекарни - не более 10 млн. рублей на одного 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>1.10. Размер субсидий на финансовое обеспечение (возмещение) затрат,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 хлеба и хлебобулочных изделий, - не более 5 млн. рублей на одного получателя;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1.11. Размер </w:t>
      </w:r>
      <w:proofErr w:type="gramStart"/>
      <w:r>
        <w:t xml:space="preserve">средств, предоставляемых </w:t>
      </w:r>
      <w:proofErr w:type="spellStart"/>
      <w:r>
        <w:t>агроагрегаторам</w:t>
      </w:r>
      <w:proofErr w:type="spellEnd"/>
      <w:r>
        <w:t xml:space="preserve"> по приоритетному направлению развития инфраструктуры сбыта</w:t>
      </w:r>
      <w:proofErr w:type="gramEnd"/>
      <w:r>
        <w:t xml:space="preserve"> фермерской продукции на финансовое обеспечение (возмещение) части понесенных </w:t>
      </w:r>
      <w:proofErr w:type="spellStart"/>
      <w:r>
        <w:t>агроагрегаторами</w:t>
      </w:r>
      <w:proofErr w:type="spellEnd"/>
      <w:r>
        <w:t xml:space="preserve"> в текущем финансовом году затрат: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а) связанных с закупкой фермерской продукции у поставщиков фермерской продукции, - в размере, не превышающем 20 млн. рублей на один </w:t>
      </w:r>
      <w:proofErr w:type="spellStart"/>
      <w:r>
        <w:t>агроагрегатор</w:t>
      </w:r>
      <w:proofErr w:type="spellEnd"/>
      <w:r>
        <w:t>;</w:t>
      </w:r>
    </w:p>
    <w:p w:rsidR="00C13A3F" w:rsidRDefault="00C13A3F">
      <w:pPr>
        <w:pStyle w:val="ConsPlusNormal"/>
        <w:spacing w:before="280"/>
        <w:ind w:firstLine="540"/>
        <w:jc w:val="both"/>
      </w:pPr>
      <w:proofErr w:type="gramStart"/>
      <w:r>
        <w:t>б) связанных с приобретением и последующим внесением в неделимый фонд объектов, предназначенных для заготовки, хранения, подработки, переработки, сортировки, первичной переработки, охлаждения, подготовки к реализации, транспортировки и реализации сельскохозяйственной продукции, шерсти, пищевых лесных ресурсов, а также продуктов переработки указанной продукции, оборудования для организации хранения, переработки, упаковки, маркировки, транспортировки и реализации сельскохозяйственной продукции, специализированного автотранспорта, - в размере не более 20 млн. рублей</w:t>
      </w:r>
      <w:proofErr w:type="gramEnd"/>
      <w:r>
        <w:t xml:space="preserve"> из расчета на один </w:t>
      </w:r>
      <w:proofErr w:type="spellStart"/>
      <w:r>
        <w:t>агроагрегатор</w:t>
      </w:r>
      <w:proofErr w:type="spellEnd"/>
      <w:r>
        <w:t>.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Размеры грантов, указанные в </w:t>
      </w:r>
      <w:hyperlink w:anchor="P12">
        <w:r>
          <w:rPr>
            <w:color w:val="0000FF"/>
          </w:rPr>
          <w:t>пункте 1.2</w:t>
        </w:r>
      </w:hyperlink>
      <w:r>
        <w:t xml:space="preserve"> настоящего приказа, могут быть увеличены на 1 млн. рублей, если для реализации проекта грантополучателя, направленного на развитие животноводства, заявителем привлечен инвестиционный кредит и такой проект предусматривает организацию содержания не менее 500 голов маточного поголовья крупного рогатого скота и не менее 2500 голов маточного поголовья овец и (или) коз.</w:t>
      </w:r>
      <w:proofErr w:type="gramEnd"/>
    </w:p>
    <w:p w:rsidR="00C13A3F" w:rsidRDefault="00C13A3F">
      <w:pPr>
        <w:pStyle w:val="ConsPlusNormal"/>
        <w:spacing w:before="28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4.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9">
        <w:r>
          <w:rPr>
            <w:color w:val="0000FF"/>
          </w:rPr>
          <w:t>www.pravo.gov.ru</w:t>
        </w:r>
      </w:hyperlink>
      <w:r>
        <w:t>) и на официальном сайте Министерства сельского хозяйства Пензенской области в информационно-телекоммуникационной сети "Интернет" (</w:t>
      </w:r>
      <w:hyperlink r:id="rId10">
        <w:r>
          <w:rPr>
            <w:color w:val="0000FF"/>
          </w:rPr>
          <w:t>https://mcx.pnzreg.ru</w:t>
        </w:r>
      </w:hyperlink>
      <w:r>
        <w:t>).</w:t>
      </w:r>
    </w:p>
    <w:p w:rsidR="00C13A3F" w:rsidRDefault="00C13A3F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</w:t>
      </w:r>
      <w:r>
        <w:lastRenderedPageBreak/>
        <w:t>заместителя Министра.</w:t>
      </w:r>
    </w:p>
    <w:p w:rsidR="00C13A3F" w:rsidRDefault="00C13A3F">
      <w:pPr>
        <w:pStyle w:val="ConsPlusNormal"/>
        <w:jc w:val="both"/>
      </w:pPr>
    </w:p>
    <w:p w:rsidR="00C13A3F" w:rsidRDefault="00C13A3F">
      <w:pPr>
        <w:pStyle w:val="ConsPlusNormal"/>
        <w:jc w:val="right"/>
      </w:pPr>
      <w:r>
        <w:t>Заместитель Председателя</w:t>
      </w:r>
    </w:p>
    <w:p w:rsidR="00C13A3F" w:rsidRDefault="00C13A3F">
      <w:pPr>
        <w:pStyle w:val="ConsPlusNormal"/>
        <w:jc w:val="right"/>
      </w:pPr>
      <w:r>
        <w:t>Правительства - Министр</w:t>
      </w:r>
    </w:p>
    <w:p w:rsidR="00C13A3F" w:rsidRDefault="00C13A3F">
      <w:pPr>
        <w:pStyle w:val="ConsPlusNormal"/>
        <w:jc w:val="right"/>
      </w:pPr>
      <w:r>
        <w:t>Р.А.КАЛЕНТЬЕВ</w:t>
      </w:r>
    </w:p>
    <w:p w:rsidR="00C13A3F" w:rsidRDefault="00C13A3F">
      <w:pPr>
        <w:pStyle w:val="ConsPlusNormal"/>
        <w:jc w:val="both"/>
      </w:pPr>
    </w:p>
    <w:sectPr w:rsidR="00C13A3F" w:rsidSect="00567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3F"/>
    <w:rsid w:val="00C13A3F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13A3F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5698&amp;dst=100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21633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000&amp;dst=860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1000&amp;dst=85914" TargetMode="External"/><Relationship Id="rId10" Type="http://schemas.openxmlformats.org/officeDocument/2006/relationships/hyperlink" Target="https://mcx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2026-05-05T08:08:00Z</dcterms:created>
  <dcterms:modified xsi:type="dcterms:W3CDTF">2026-05-05T08:09:00Z</dcterms:modified>
</cp:coreProperties>
</file>