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74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 w:eastAsia="Arial"/>
          <w:b/>
          <w:bCs/>
          <w:sz w:val="28"/>
          <w:szCs w:val="28"/>
        </w:rPr>
        <mc:AlternateContent>
          <mc:Choice Requires="wpg">
            <w:drawing>
              <wp:anchor xmlns:wp="http://schemas.openxmlformats.org/drawingml/2006/wordprocessingDrawing" distT="0" distB="0" distL="114935" distR="114935" simplePos="0" relativeHeight="524288" behindDoc="0" locked="0" layoutInCell="1" allowOverlap="1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3600" cy="279400"/>
                <wp:effectExtent l="0" t="0" r="0" b="0"/>
                <wp:wrapNone/>
                <wp:docPr id="1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AdjustHandles="0" noChangeArrowheads="0"/>
                      </wps:cNvSpPr>
                      <wps:spPr bwMode="auto">
                        <a:xfrm>
                          <a:off x="0" y="0"/>
                          <a:ext cx="863599" cy="279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74"/>
                              <w:jc w:val="center"/>
                            </w:pP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Проект</w:t>
                            </w:r>
                            <w:r/>
                          </w:p>
                          <w:p>
                            <w:pPr>
                              <w:pStyle w:val="574"/>
                            </w:pPr>
                            <w:r/>
                            <w:r/>
                          </w:p>
                        </w:txbxContent>
                      </wps:txbx>
                      <wps:bodyPr wrap="square" lIns="38735" tIns="38735" rIns="38735" bIns="38735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style="position:absolute;mso-wrap-distance-left:9.0pt;mso-wrap-distance-top:0.0pt;mso-wrap-distance-right:9.0pt;mso-wrap-distance-bottom:0.0pt;z-index:524288;o:allowoverlap:true;o:allowincell:true;mso-position-horizontal-relative:page;margin-left:458.7pt;mso-position-horizontal:absolute;mso-position-vertical-relative:page;margin-top:36.0pt;mso-position-vertical:absolute;width:68.0pt;height:22.0pt;" coordsize="100000,100000" path="" fillcolor="#FFFFFF">
                <v:path textboxrect="0,0,0,0"/>
                <v:fill opacity="100f"/>
                <v:textbox>
                  <w:txbxContent>
                    <w:p>
                      <w:pPr>
                        <w:pStyle w:val="574"/>
                        <w:jc w:val="center"/>
                      </w:pPr>
                      <w:r>
                        <w:rPr>
                          <w:rFonts w:ascii="Arial" w:hAnsi="Arial"/>
                          <w:u w:val="single"/>
                        </w:rPr>
                        <w:t xml:space="preserve">Проект</w:t>
                      </w:r>
                      <w:r/>
                    </w:p>
                    <w:p>
                      <w:pPr>
                        <w:pStyle w:val="574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bCs/>
          <w:sz w:val="28"/>
          <w:szCs w:val="28"/>
        </w:rPr>
        <w:t xml:space="preserve">О регулировании отдельных вопросов в сфере розничной продажи алкогольной продукции</w:t>
      </w:r>
      <w:r>
        <w:rPr>
          <w:rFonts w:ascii="Arial" w:hAnsi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 xml:space="preserve">на территории Пензенской области</w:t>
      </w:r>
      <w:r>
        <w:rPr>
          <w:rFonts w:ascii="Arial" w:hAnsi="Arial"/>
          <w:b/>
          <w:bCs/>
          <w:sz w:val="28"/>
          <w:szCs w:val="28"/>
        </w:rPr>
      </w:r>
      <w:r/>
    </w:p>
    <w:p>
      <w:pPr>
        <w:pStyle w:val="574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  <w:r/>
    </w:p>
    <w:p>
      <w:pPr>
        <w:pStyle w:val="57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Внесен Губернатором Пензенской области О.В.Мельниченко</w:t>
      </w:r>
      <w:r/>
    </w:p>
    <w:p>
      <w:pPr>
        <w:pStyle w:val="574"/>
        <w:jc w:val="center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74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1. Предмет регулирования настоящего Закона</w:t>
      </w:r>
      <w:r>
        <w:rPr>
          <w:b/>
          <w:sz w:val="24"/>
          <w:szCs w:val="24"/>
        </w:rPr>
      </w:r>
      <w:r/>
    </w:p>
    <w:p>
      <w:pPr>
        <w:pStyle w:val="574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pStyle w:val="574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Настоящий Закон в соответствии с Федеральным законом от 22 ноября 1995 г. № 171-ФЗ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устанавливает требования к минимальному размеру уставного капитала (уставного фонда) для организаций, осуществляющих розничную продажу алкогольной продукции (за исключением организаций, осуществляющих розничную продаж</w:t>
      </w:r>
      <w:r>
        <w:rPr>
          <w:sz w:val="24"/>
          <w:szCs w:val="24"/>
        </w:rPr>
        <w:t xml:space="preserve">у алкогольной продукции при оказании услуг общественного питания), и дополнительные ограничения в сфере розничной продажи алкогольной продукции (за исключением розничной продажи алкогольной продукции при оказании услуг общественного питания) на территории </w:t>
      </w:r>
      <w:r>
        <w:rPr>
          <w:sz w:val="24"/>
          <w:szCs w:val="24"/>
        </w:rPr>
        <w:t xml:space="preserve">Пензенской </w:t>
      </w:r>
      <w:r>
        <w:rPr>
          <w:sz w:val="24"/>
          <w:szCs w:val="24"/>
        </w:rPr>
        <w:t xml:space="preserve"> области.</w:t>
      </w:r>
      <w:r>
        <w:rPr>
          <w:sz w:val="24"/>
          <w:szCs w:val="24"/>
        </w:rPr>
      </w:r>
      <w:r/>
    </w:p>
    <w:p>
      <w:pPr>
        <w:pStyle w:val="574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74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</w:t>
      </w:r>
      <w:r>
        <w:rPr>
          <w:b/>
          <w:sz w:val="24"/>
          <w:szCs w:val="24"/>
        </w:rPr>
        <w:t xml:space="preserve">2. Требования к минимальному размеру уставного капитала (уставного фонда) при розничной продаже алкогольной продукции</w:t>
      </w:r>
      <w:r>
        <w:rPr>
          <w:b/>
          <w:sz w:val="24"/>
          <w:szCs w:val="24"/>
        </w:rPr>
      </w:r>
      <w:r/>
    </w:p>
    <w:p>
      <w:pPr>
        <w:pStyle w:val="574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pStyle w:val="574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Установить для организаций, осуществляющих на территории Пензенской области розничную продажу алкогольной про</w:t>
      </w:r>
      <w:r>
        <w:rPr>
          <w:sz w:val="24"/>
          <w:szCs w:val="24"/>
        </w:rPr>
        <w:t xml:space="preserve">дукции, за исключением организаций, осуществляющих розничную продажу алкогольной продукции при оказании услуг общественного питания, и потребительских обществ, минимальный размер уставного капитала (уставного фонда) в сумме двухсот пятидесяти тысяч рублей.</w:t>
      </w:r>
      <w:r/>
    </w:p>
    <w:p>
      <w:pPr>
        <w:pStyle w:val="574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74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</w:t>
      </w:r>
      <w:r>
        <w:rPr>
          <w:b/>
          <w:sz w:val="24"/>
          <w:szCs w:val="24"/>
        </w:rPr>
        <w:t xml:space="preserve">3. Дополнительные ограничения в сфере розничной продажи алкогольной продукции на территории Пензенской  области</w:t>
      </w:r>
      <w:r>
        <w:rPr>
          <w:b/>
          <w:sz w:val="24"/>
          <w:szCs w:val="24"/>
        </w:rPr>
      </w:r>
      <w:r/>
    </w:p>
    <w:p>
      <w:pPr>
        <w:pStyle w:val="574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pStyle w:val="574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На территории </w:t>
      </w:r>
      <w:r>
        <w:rPr>
          <w:sz w:val="24"/>
          <w:szCs w:val="24"/>
        </w:rPr>
        <w:t xml:space="preserve">Пензенской </w:t>
      </w:r>
      <w:r>
        <w:rPr>
          <w:sz w:val="24"/>
          <w:szCs w:val="24"/>
        </w:rPr>
        <w:t xml:space="preserve"> области устанавливается запрет на розничную продажу алкогольной продукции:</w:t>
      </w:r>
      <w:r/>
    </w:p>
    <w:p>
      <w:pPr>
        <w:pStyle w:val="574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) в зонах рекреационного назначе</w:t>
      </w:r>
      <w:r>
        <w:rPr>
          <w:sz w:val="24"/>
          <w:szCs w:val="24"/>
        </w:rPr>
        <w:t xml:space="preserve">ния (в границах территорий, занятых городскими лесами, скверами, парками, городскими садами, прудами, озерами, водохранилищами, пляжами, в границах иных территорий, используемых и предназначенных для отдыха, туризма, занятий физической культурой и спортом)</w:t>
      </w:r>
      <w:r>
        <w:rPr>
          <w:sz w:val="24"/>
          <w:szCs w:val="24"/>
        </w:rPr>
        <w:t xml:space="preserve"> за исключением розничной продажи алкогольной продукции при оказании услуг общественного питания</w:t>
      </w:r>
      <w:r>
        <w:rPr>
          <w:sz w:val="24"/>
          <w:szCs w:val="24"/>
        </w:rPr>
        <w:t xml:space="preserve">;</w:t>
      </w:r>
      <w:r/>
    </w:p>
    <w:p>
      <w:pPr>
        <w:pStyle w:val="574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в местах проведения массовых мероприятий (на улицах, площад</w:t>
      </w:r>
      <w:r>
        <w:rPr>
          <w:sz w:val="24"/>
          <w:szCs w:val="24"/>
        </w:rPr>
        <w:t xml:space="preserve">ях, в зданиях, строениях, задействованных в проведении массовых гуляний, зрелищных мероприятий, парадов, спортивных мероприятий) и ярмарок в дни их проведения, за исключением розничной продажи алкогольной продукции при оказании услуг общественного питания;</w:t>
      </w:r>
      <w:r>
        <w:rPr>
          <w:sz w:val="24"/>
          <w:szCs w:val="24"/>
        </w:rPr>
      </w:r>
      <w:r/>
    </w:p>
    <w:p>
      <w:pPr>
        <w:pStyle w:val="574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в помещениях, переведенных из жилого помещения в нежилое помещение и расположенных на первых этажах в многоквартирных жилых домах, за исключением розничной продажи алкогольной продукции при оказании услуг общественного питания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/>
    </w:p>
    <w:p>
      <w:pPr>
        <w:pStyle w:val="574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) при оказании услуг общественного питания в объектах общественного питания (за исключением ресторанов), расположенных в многоквартирных домах и (или) на прилегающих к ним те</w:t>
      </w:r>
      <w:r>
        <w:rPr>
          <w:sz w:val="24"/>
          <w:szCs w:val="24"/>
        </w:rPr>
        <w:t xml:space="preserve">рриториях с 22 часов до 10 часов;</w:t>
      </w:r>
      <w:r>
        <w:rPr>
          <w:sz w:val="24"/>
          <w:szCs w:val="24"/>
        </w:rPr>
      </w:r>
      <w:r/>
    </w:p>
    <w:p>
      <w:pPr>
        <w:pStyle w:val="574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</w:t>
      </w:r>
      <w:r>
        <w:rPr>
          <w:sz w:val="24"/>
          <w:szCs w:val="24"/>
        </w:rPr>
        <w:t xml:space="preserve">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территориях, с общей площадью зала обслуживания посетителей менее 30 квадратных метров.</w:t>
      </w:r>
      <w:r/>
    </w:p>
    <w:p>
      <w:pPr>
        <w:pStyle w:val="574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74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Запрещается розничная продажа алкогольной продукции, за исключением розничной продажи алкогольной п</w:t>
      </w:r>
      <w:r>
        <w:rPr>
          <w:sz w:val="24"/>
          <w:szCs w:val="24"/>
        </w:rPr>
        <w:t xml:space="preserve">родукции, осуществляемой организациями, крестьянскими (фермерскими) хозяйствами, индивидуальными предпринимателями, признаваемыми сельскохозяйственными товаропроизводителями, розничной продажи пива, пивных напитков, сидра, пуаре, медовухи, осуществляемой и</w:t>
      </w:r>
      <w:r>
        <w:rPr>
          <w:sz w:val="24"/>
          <w:szCs w:val="24"/>
        </w:rPr>
        <w:t xml:space="preserve">ндивидуальными предпринимателями, при оказании такими организациями, крестьянскими (фермерскими) хозяйствами и индивидуальными предпринимателями услуг общественного питания, розничной продажи алкогольной продукции в случае, если указанная продукция размеще</w:t>
      </w:r>
      <w:r>
        <w:rPr>
          <w:sz w:val="24"/>
          <w:szCs w:val="24"/>
        </w:rPr>
        <w:t xml:space="preserve">на на бортах водных и воздушных судов в качестве припасов в соответствии с правом ЕАЭС и законодательством Российской Федерации о таможенном деле, и розничной продажи алкогольной продукции, осуществляемой в магазинах беспошлинной торговли, в следующие дни:</w:t>
      </w:r>
      <w:r>
        <w:rPr>
          <w:sz w:val="24"/>
          <w:szCs w:val="24"/>
        </w:rPr>
      </w:r>
      <w:r/>
    </w:p>
    <w:p>
      <w:pPr>
        <w:pStyle w:val="574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1 сентября - День знаний</w:t>
      </w:r>
      <w:r>
        <w:rPr>
          <w:sz w:val="24"/>
          <w:szCs w:val="24"/>
        </w:rPr>
        <w:t xml:space="preserve">;</w:t>
      </w:r>
      <w:r/>
    </w:p>
    <w:p>
      <w:pPr>
        <w:pStyle w:val="574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) в дни проведения мероприятий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Последний звонок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Выпускной вечер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, рекомендованные исполнительным органом государственной власти Пензенской области, упо</w:t>
      </w:r>
      <w:r>
        <w:rPr>
          <w:sz w:val="24"/>
          <w:szCs w:val="24"/>
        </w:rPr>
        <w:t xml:space="preserve">лномоченным в сфере образования.</w:t>
      </w:r>
      <w:r>
        <w:rPr>
          <w:sz w:val="24"/>
          <w:szCs w:val="24"/>
        </w:rPr>
      </w:r>
      <w:r/>
    </w:p>
    <w:p>
      <w:pPr>
        <w:pStyle w:val="574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74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 Губернатором Пензенской области в соответствии с абзацем вторым пункта 9 статьи 16 Федерального закона о</w:t>
      </w:r>
      <w:r>
        <w:rPr>
          <w:sz w:val="24"/>
          <w:szCs w:val="24"/>
        </w:rPr>
        <w:t xml:space="preserve">т 22 ноября 1995 года </w:t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171-ФЗ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О 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>
        <w:rPr>
          <w:sz w:val="24"/>
          <w:szCs w:val="24"/>
        </w:rPr>
        <w:t xml:space="preserve">распития) алкогольной продукции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 могут быть установлены дополнительные, не установленные настоящим Законом, ограничения времени, условий и мест розничной продажи алкогольной продукции, за искл</w:t>
      </w:r>
      <w:r>
        <w:rPr>
          <w:sz w:val="24"/>
          <w:szCs w:val="24"/>
        </w:rPr>
        <w:t xml:space="preserve">ючением розничной продажи алкогольной продукции при оказании услуг общественного питания, в том числе полный запрет на розничную продажу алкогольной продукции, за исключением розничной продажи алкогольной продукции при оказании услуг общественного питания.</w:t>
      </w:r>
      <w:r/>
    </w:p>
    <w:p>
      <w:pPr>
        <w:pStyle w:val="574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74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</w:t>
      </w:r>
      <w:r>
        <w:rPr>
          <w:b/>
          <w:sz w:val="24"/>
          <w:szCs w:val="24"/>
        </w:rPr>
        <w:t xml:space="preserve">4. </w:t>
      </w:r>
      <w:r>
        <w:rPr>
          <w:b/>
          <w:sz w:val="24"/>
          <w:szCs w:val="24"/>
        </w:rPr>
        <w:t xml:space="preserve">Вступление в силу настоящего Закона</w:t>
      </w:r>
      <w:r>
        <w:rPr>
          <w:b/>
          <w:sz w:val="24"/>
          <w:szCs w:val="24"/>
        </w:rPr>
      </w:r>
      <w:r/>
    </w:p>
    <w:p>
      <w:pPr>
        <w:pStyle w:val="574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1. Настоящий Закон вступает в силу по </w:t>
      </w:r>
      <w:r>
        <w:rPr>
          <w:sz w:val="24"/>
          <w:szCs w:val="24"/>
        </w:rPr>
        <w:t xml:space="preserve">истечении десяти дней после дня его официального опубликования</w:t>
      </w:r>
      <w:r>
        <w:rPr>
          <w:sz w:val="24"/>
          <w:szCs w:val="24"/>
          <w:lang w:eastAsia="ru-RU"/>
        </w:rPr>
        <w:t xml:space="preserve">, за исключением </w:t>
      </w:r>
      <w:r>
        <w:rPr>
          <w:sz w:val="24"/>
          <w:szCs w:val="24"/>
          <w:lang w:eastAsia="ru-RU"/>
        </w:rPr>
        <w:fldChar w:fldCharType="begin"/>
      </w:r>
      <w:r>
        <w:rPr>
          <w:sz w:val="24"/>
          <w:szCs w:val="24"/>
          <w:lang w:eastAsia="ru-RU"/>
        </w:rPr>
        <w:instrText xml:space="preserve">HYPERLINK https://login.consultant.ru/link/?req=doc&amp;base=RLAW021&amp;n=191010&amp;dst=100328 </w:instrText>
      </w:r>
      <w:r>
        <w:rPr>
          <w:sz w:val="24"/>
          <w:szCs w:val="24"/>
          <w:lang w:eastAsia="ru-RU"/>
        </w:rPr>
        <w:fldChar w:fldCharType="separate"/>
      </w:r>
      <w:r>
        <w:rPr>
          <w:sz w:val="24"/>
          <w:szCs w:val="24"/>
          <w:lang w:eastAsia="ru-RU"/>
        </w:rPr>
        <w:t xml:space="preserve">пункта 4 части 1 статьи 3</w:t>
      </w:r>
      <w:r>
        <w:rPr>
          <w:sz w:val="24"/>
          <w:szCs w:val="24"/>
          <w:lang w:eastAsia="ru-RU"/>
        </w:rPr>
        <w:fldChar w:fldCharType="end"/>
      </w:r>
      <w:r>
        <w:rPr>
          <w:sz w:val="24"/>
          <w:szCs w:val="24"/>
          <w:lang w:eastAsia="ru-RU"/>
        </w:rPr>
        <w:t xml:space="preserve"> настоящего Закона.</w:t>
      </w:r>
      <w:r/>
    </w:p>
    <w:p>
      <w:pPr>
        <w:pStyle w:val="574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 </w:t>
      </w:r>
      <w:r>
        <w:rPr>
          <w:sz w:val="24"/>
          <w:szCs w:val="24"/>
          <w:lang w:eastAsia="ru-RU"/>
        </w:rPr>
        <w:fldChar w:fldCharType="begin"/>
      </w:r>
      <w:r>
        <w:rPr>
          <w:sz w:val="24"/>
          <w:szCs w:val="24"/>
          <w:lang w:eastAsia="ru-RU"/>
        </w:rPr>
        <w:instrText xml:space="preserve">HYPERLINK https://login.consultant.ru/link/?req=doc&amp;base=RLAW021&amp;n=191010&amp;dst=100328 </w:instrText>
      </w:r>
      <w:r>
        <w:rPr>
          <w:sz w:val="24"/>
          <w:szCs w:val="24"/>
          <w:lang w:eastAsia="ru-RU"/>
        </w:rPr>
        <w:fldChar w:fldCharType="separate"/>
      </w:r>
      <w:r>
        <w:rPr>
          <w:sz w:val="24"/>
          <w:szCs w:val="24"/>
          <w:lang w:eastAsia="ru-RU"/>
        </w:rPr>
        <w:t xml:space="preserve">Пункт 4 части 1 статьи 3</w:t>
      </w:r>
      <w:r>
        <w:rPr>
          <w:sz w:val="24"/>
          <w:szCs w:val="24"/>
          <w:lang w:eastAsia="ru-RU"/>
        </w:rPr>
        <w:fldChar w:fldCharType="end"/>
      </w:r>
      <w:r>
        <w:rPr>
          <w:sz w:val="24"/>
          <w:szCs w:val="24"/>
          <w:lang w:eastAsia="ru-RU"/>
        </w:rPr>
        <w:t xml:space="preserve"> настоящего Закона вступает в силу с 1 сентября 2024 года.</w:t>
      </w:r>
      <w:r>
        <w:rPr>
          <w:sz w:val="24"/>
          <w:szCs w:val="24"/>
          <w:lang w:eastAsia="ru-RU"/>
        </w:rPr>
      </w:r>
      <w:r/>
    </w:p>
    <w:sectPr>
      <w:headerReference w:type="first" r:id="rId8"/>
      <w:footnotePr/>
      <w:type w:val="nextPage"/>
      <w:pgSz w:w="11906" w:h="16838" w:orient="portrait"/>
      <w:pgMar w:top="1418" w:right="1418" w:bottom="1134" w:left="1418" w:header="720" w:footer="720" w:gutter="0"/>
      <w:cols w:num="1" w:sep="0" w:space="720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Wingdings">
    <w:panose1 w:val="05000000000000000000"/>
  </w:font>
  <w:font w:name="PT Sans">
    <w:panose1 w:val="020B0503020203020204"/>
  </w:font>
  <w:font w:name="Tahoma">
    <w:panose1 w:val="020B06040305040402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74"/>
      <w:jc w:val="center"/>
      <w:spacing w:after="720" w:before="1920"/>
    </w:pPr>
    <w:r>
      <w:rPr>
        <w:b/>
        <w:spacing w:val="20"/>
        <w:sz w:val="56"/>
      </w:rPr>
      <w:t xml:space="preserve">ЗАКОН</w:t>
    </w:r>
    <w:r>
      <w:rPr>
        <w:b/>
        <w:sz w:val="56"/>
      </w:rPr>
      <w:br/>
      <w:t xml:space="preserve">Пензенской области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pStyle w:val="574"/>
        <w:ind w:left="0" w:firstLine="0"/>
        <w:tabs>
          <w:tab w:val="num" w:pos="0" w:leader="none"/>
        </w:tabs>
      </w:pPr>
    </w:lvl>
    <w:lvl w:ilvl="1">
      <w:start w:val="1"/>
      <w:numFmt w:val="decimal"/>
      <w:pStyle w:val="576"/>
      <w:isLgl w:val="false"/>
      <w:suff w:val="nothing"/>
      <w:lvlText w:val=""/>
      <w:lvlJc w:val="left"/>
      <w:pPr>
        <w:pStyle w:val="574"/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pStyle w:val="577"/>
      <w:isLgl w:val="false"/>
      <w:suff w:val="space"/>
      <w:lvlText w:val="Глава %3."/>
      <w:lvlJc w:val="left"/>
      <w:pPr>
        <w:pStyle w:val="574"/>
        <w:ind w:left="1701" w:hanging="1134"/>
        <w:tabs>
          <w:tab w:val="num" w:pos="0" w:leader="none"/>
        </w:tabs>
      </w:pPr>
      <w:rPr>
        <w:b/>
        <w:i w:val="false"/>
        <w:sz w:val="28"/>
        <w:szCs w:val="28"/>
      </w:rPr>
    </w:lvl>
    <w:lvl w:ilvl="3">
      <w:start w:val="1"/>
      <w:numFmt w:val="decimal"/>
      <w:pStyle w:val="578"/>
      <w:isLgl w:val="false"/>
      <w:suff w:val="nothing"/>
      <w:lvlText w:val="Статья %4"/>
      <w:lvlJc w:val="left"/>
      <w:pPr>
        <w:pStyle w:val="574"/>
        <w:ind w:left="1560" w:hanging="1134"/>
        <w:tabs>
          <w:tab w:val="num" w:pos="-141" w:leader="none"/>
        </w:tabs>
      </w:pPr>
      <w:rPr>
        <w:b/>
        <w:i w:val="false"/>
        <w:sz w:val="24"/>
        <w:szCs w:val="24"/>
      </w:rPr>
    </w:lvl>
    <w:lvl w:ilvl="4">
      <w:start w:val="1"/>
      <w:numFmt w:val="decimal"/>
      <w:pStyle w:val="579"/>
      <w:isLgl w:val="false"/>
      <w:suff w:val="nothing"/>
      <w:lvlText w:val=""/>
      <w:lvlJc w:val="left"/>
      <w:pPr>
        <w:pStyle w:val="574"/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574"/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574"/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574"/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574"/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641"/>
      <w:isLgl w:val="false"/>
      <w:suff w:val="nothing"/>
      <w:lvlText w:val=""/>
      <w:lvlJc w:val="left"/>
      <w:pPr>
        <w:pStyle w:val="574"/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pStyle w:val="574"/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isLgl w:val="false"/>
      <w:suff w:val="space"/>
      <w:lvlText w:val="Глава %3."/>
      <w:lvlJc w:val="left"/>
      <w:pPr>
        <w:pStyle w:val="574"/>
        <w:ind w:left="1701" w:hanging="1134"/>
        <w:tabs>
          <w:tab w:val="num" w:pos="0" w:leader="none"/>
        </w:tabs>
      </w:pPr>
      <w:rPr>
        <w:b/>
        <w:i w:val="false"/>
        <w:sz w:val="28"/>
        <w:szCs w:val="28"/>
      </w:rPr>
    </w:lvl>
    <w:lvl w:ilvl="3">
      <w:start w:val="1"/>
      <w:numFmt w:val="decimal"/>
      <w:isLgl w:val="false"/>
      <w:suff w:val="nothing"/>
      <w:lvlText w:val="Статья %4"/>
      <w:lvlJc w:val="left"/>
      <w:pPr>
        <w:pStyle w:val="574"/>
        <w:ind w:left="1701" w:hanging="1134"/>
        <w:tabs>
          <w:tab w:val="num" w:pos="0" w:leader="none"/>
        </w:tabs>
      </w:pPr>
      <w:rPr>
        <w:b/>
        <w:i w:val="false"/>
        <w:sz w:val="24"/>
        <w:szCs w:val="24"/>
      </w:rPr>
    </w:lvl>
    <w:lvl w:ilvl="4">
      <w:start w:val="1"/>
      <w:numFmt w:val="decimal"/>
      <w:isLgl w:val="false"/>
      <w:suff w:val="nothing"/>
      <w:lvlText w:val=""/>
      <w:lvlJc w:val="left"/>
      <w:pPr>
        <w:pStyle w:val="574"/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pStyle w:val="574"/>
        <w:ind w:left="0" w:firstLine="567"/>
        <w:tabs>
          <w:tab w:val="num" w:pos="927" w:leader="none"/>
        </w:tabs>
      </w:pPr>
    </w:lvl>
    <w:lvl w:ilvl="6">
      <w:start w:val="1"/>
      <w:numFmt w:val="decimal"/>
      <w:isLgl w:val="false"/>
      <w:suff w:val="space"/>
      <w:lvlText w:val="%7) "/>
      <w:lvlJc w:val="left"/>
      <w:pPr>
        <w:pStyle w:val="574"/>
        <w:ind w:left="141" w:firstLine="283"/>
        <w:tabs>
          <w:tab w:val="num" w:pos="0" w:leader="none"/>
        </w:tabs>
      </w:pPr>
    </w:lvl>
    <w:lvl w:ilvl="7">
      <w:start w:val="1"/>
      <w:numFmt w:val="decimal"/>
      <w:isLgl w:val="false"/>
      <w:suff w:val="space"/>
      <w:lvlText w:val="%8)"/>
      <w:lvlJc w:val="left"/>
      <w:pPr>
        <w:pStyle w:val="574"/>
        <w:ind w:left="567" w:firstLine="284"/>
        <w:tabs>
          <w:tab w:val="num" w:pos="0" w:leader="none"/>
        </w:tabs>
      </w:pPr>
      <w:rPr>
        <w:b w:val="false"/>
        <w:i w:val="false"/>
        <w:sz w:val="24"/>
        <w:szCs w:val="24"/>
      </w:rPr>
    </w:lvl>
    <w:lvl w:ilvl="8">
      <w:start w:val="1"/>
      <w:numFmt w:val="decimal"/>
      <w:isLgl w:val="false"/>
      <w:suff w:val="nothing"/>
      <w:lvlText w:val=""/>
      <w:lvlJc w:val="left"/>
      <w:pPr>
        <w:pStyle w:val="574"/>
        <w:ind w:left="284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upperRoman"/>
      <w:pStyle w:val="581"/>
      <w:isLgl w:val="false"/>
      <w:suff w:val="space"/>
      <w:lvlText w:val="Глава %1."/>
      <w:lvlJc w:val="left"/>
      <w:pPr>
        <w:pStyle w:val="574"/>
        <w:ind w:left="2127" w:hanging="1418"/>
        <w:tabs>
          <w:tab w:val="num" w:pos="0" w:leader="none"/>
        </w:tabs>
      </w:pPr>
    </w:lvl>
    <w:lvl w:ilvl="1">
      <w:start w:val="1"/>
      <w:numFmt w:val="decimal"/>
      <w:isLgl w:val="false"/>
      <w:suff w:val="space"/>
      <w:lvlText w:val="Статья %2."/>
      <w:lvlJc w:val="left"/>
      <w:pPr>
        <w:pStyle w:val="574"/>
        <w:ind w:left="1985" w:hanging="1276"/>
        <w:tabs>
          <w:tab w:val="num" w:pos="0" w:leader="none"/>
        </w:tabs>
      </w:pPr>
      <w:rPr>
        <w:sz w:val="24"/>
      </w:rPr>
    </w:lvl>
    <w:lvl w:ilvl="2">
      <w:start w:val="1"/>
      <w:numFmt w:val="decimal"/>
      <w:isLgl w:val="false"/>
      <w:suff w:val="tab"/>
      <w:lvlText w:val="%3."/>
      <w:lvlJc w:val="left"/>
      <w:pPr>
        <w:pStyle w:val="574"/>
        <w:ind w:left="0" w:firstLine="737"/>
        <w:tabs>
          <w:tab w:val="num" w:pos="1097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pStyle w:val="574"/>
        <w:ind w:left="340" w:firstLine="624"/>
        <w:tabs>
          <w:tab w:val="num" w:pos="1324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574"/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574"/>
        <w:ind w:left="3542" w:hanging="708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574"/>
        <w:ind w:left="4250" w:hanging="708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574"/>
        <w:ind w:left="4958" w:hanging="708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574"/>
        <w:ind w:left="0" w:firstLine="4958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bullet"/>
      <w:pStyle w:val="644"/>
      <w:isLgl w:val="false"/>
      <w:suff w:val="tab"/>
      <w:lvlText w:val=""/>
      <w:lvlJc w:val="left"/>
      <w:pPr>
        <w:pStyle w:val="574"/>
        <w:ind w:left="851" w:hanging="284"/>
        <w:tabs>
          <w:tab w:val="num" w:pos="851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4">
    <w:multiLevelType w:val="hybridMultilevel"/>
    <w:lvl w:ilvl="0">
      <w:start w:val="1"/>
      <w:numFmt w:val="decimal"/>
      <w:pStyle w:val="646"/>
      <w:isLgl w:val="false"/>
      <w:suff w:val="tab"/>
      <w:lvlText w:val="%1."/>
      <w:lvlJc w:val="left"/>
      <w:pPr>
        <w:pStyle w:val="574"/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pStyle w:val="574"/>
        <w:ind w:left="907" w:hanging="547"/>
        <w:tabs>
          <w:tab w:val="num" w:pos="907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pStyle w:val="574"/>
        <w:ind w:left="1418" w:hanging="567"/>
        <w:tabs>
          <w:tab w:val="num" w:pos="1134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pStyle w:val="574"/>
        <w:ind w:left="1728" w:hanging="648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574"/>
        <w:ind w:left="2232" w:hanging="792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574"/>
        <w:ind w:left="2736" w:hanging="936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574"/>
        <w:ind w:left="3240" w:hanging="108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574"/>
        <w:ind w:left="3744" w:hanging="1224"/>
        <w:tabs>
          <w:tab w:val="num" w:pos="61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574"/>
        <w:ind w:left="4320" w:hanging="1440"/>
        <w:tabs>
          <w:tab w:val="num" w:pos="684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 w:hint="default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00">
    <w:name w:val="Heading 1"/>
    <w:link w:val="40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01">
    <w:name w:val="Heading 1 Char"/>
    <w:link w:val="400"/>
    <w:uiPriority w:val="9"/>
    <w:rPr>
      <w:rFonts w:ascii="Arial" w:hAnsi="Arial" w:cs="Arial" w:eastAsia="Arial"/>
      <w:sz w:val="40"/>
      <w:szCs w:val="40"/>
    </w:rPr>
  </w:style>
  <w:style w:type="paragraph" w:styleId="402">
    <w:name w:val="Heading 2"/>
    <w:link w:val="40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03">
    <w:name w:val="Heading 2 Char"/>
    <w:link w:val="402"/>
    <w:uiPriority w:val="9"/>
    <w:rPr>
      <w:rFonts w:ascii="Arial" w:hAnsi="Arial" w:cs="Arial" w:eastAsia="Arial"/>
      <w:sz w:val="34"/>
    </w:rPr>
  </w:style>
  <w:style w:type="paragraph" w:styleId="404">
    <w:name w:val="Heading 3"/>
    <w:link w:val="40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05">
    <w:name w:val="Heading 3 Char"/>
    <w:link w:val="404"/>
    <w:uiPriority w:val="9"/>
    <w:rPr>
      <w:rFonts w:ascii="Arial" w:hAnsi="Arial" w:cs="Arial" w:eastAsia="Arial"/>
      <w:sz w:val="30"/>
      <w:szCs w:val="30"/>
    </w:rPr>
  </w:style>
  <w:style w:type="paragraph" w:styleId="406">
    <w:name w:val="Heading 4"/>
    <w:link w:val="40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07">
    <w:name w:val="Heading 4 Char"/>
    <w:link w:val="406"/>
    <w:uiPriority w:val="9"/>
    <w:rPr>
      <w:rFonts w:ascii="Arial" w:hAnsi="Arial" w:cs="Arial" w:eastAsia="Arial"/>
      <w:b/>
      <w:bCs/>
      <w:sz w:val="26"/>
      <w:szCs w:val="26"/>
    </w:rPr>
  </w:style>
  <w:style w:type="paragraph" w:styleId="408">
    <w:name w:val="Heading 5"/>
    <w:link w:val="40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09">
    <w:name w:val="Heading 5 Char"/>
    <w:link w:val="408"/>
    <w:uiPriority w:val="9"/>
    <w:rPr>
      <w:rFonts w:ascii="Arial" w:hAnsi="Arial" w:cs="Arial" w:eastAsia="Arial"/>
      <w:b/>
      <w:bCs/>
      <w:sz w:val="24"/>
      <w:szCs w:val="24"/>
    </w:rPr>
  </w:style>
  <w:style w:type="paragraph" w:styleId="410">
    <w:name w:val="Heading 6"/>
    <w:link w:val="41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11">
    <w:name w:val="Heading 6 Char"/>
    <w:link w:val="410"/>
    <w:uiPriority w:val="9"/>
    <w:rPr>
      <w:rFonts w:ascii="Arial" w:hAnsi="Arial" w:cs="Arial" w:eastAsia="Arial"/>
      <w:b/>
      <w:bCs/>
      <w:sz w:val="22"/>
      <w:szCs w:val="22"/>
    </w:rPr>
  </w:style>
  <w:style w:type="paragraph" w:styleId="412">
    <w:name w:val="Heading 7"/>
    <w:link w:val="41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13">
    <w:name w:val="Heading 7 Char"/>
    <w:link w:val="41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14">
    <w:name w:val="Heading 8"/>
    <w:link w:val="41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15">
    <w:name w:val="Heading 8 Char"/>
    <w:link w:val="414"/>
    <w:uiPriority w:val="9"/>
    <w:rPr>
      <w:rFonts w:ascii="Arial" w:hAnsi="Arial" w:cs="Arial" w:eastAsia="Arial"/>
      <w:i/>
      <w:iCs/>
      <w:sz w:val="22"/>
      <w:szCs w:val="22"/>
    </w:rPr>
  </w:style>
  <w:style w:type="paragraph" w:styleId="416">
    <w:name w:val="Heading 9"/>
    <w:link w:val="41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17">
    <w:name w:val="Heading 9 Char"/>
    <w:link w:val="416"/>
    <w:uiPriority w:val="9"/>
    <w:rPr>
      <w:rFonts w:ascii="Arial" w:hAnsi="Arial" w:cs="Arial" w:eastAsia="Arial"/>
      <w:i/>
      <w:iCs/>
      <w:sz w:val="21"/>
      <w:szCs w:val="21"/>
    </w:rPr>
  </w:style>
  <w:style w:type="paragraph" w:styleId="418">
    <w:name w:val="List Paragraph"/>
    <w:qFormat/>
    <w:uiPriority w:val="34"/>
    <w:pPr>
      <w:contextualSpacing w:val="true"/>
      <w:ind w:left="720"/>
    </w:pPr>
  </w:style>
  <w:style w:type="paragraph" w:styleId="419">
    <w:name w:val="No Spacing"/>
    <w:qFormat/>
    <w:uiPriority w:val="1"/>
    <w:pPr>
      <w:spacing w:lineRule="auto" w:line="240" w:after="0" w:before="0"/>
    </w:pPr>
  </w:style>
  <w:style w:type="paragraph" w:styleId="420">
    <w:name w:val="Title"/>
    <w:link w:val="42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21">
    <w:name w:val="Title Char"/>
    <w:link w:val="420"/>
    <w:uiPriority w:val="10"/>
    <w:rPr>
      <w:sz w:val="48"/>
      <w:szCs w:val="48"/>
    </w:rPr>
  </w:style>
  <w:style w:type="paragraph" w:styleId="422">
    <w:name w:val="Subtitle"/>
    <w:link w:val="423"/>
    <w:qFormat/>
    <w:uiPriority w:val="11"/>
    <w:rPr>
      <w:sz w:val="24"/>
      <w:szCs w:val="24"/>
    </w:rPr>
    <w:pPr>
      <w:spacing w:after="200" w:before="200"/>
    </w:pPr>
  </w:style>
  <w:style w:type="character" w:styleId="423">
    <w:name w:val="Subtitle Char"/>
    <w:link w:val="422"/>
    <w:uiPriority w:val="11"/>
    <w:rPr>
      <w:sz w:val="24"/>
      <w:szCs w:val="24"/>
    </w:rPr>
  </w:style>
  <w:style w:type="paragraph" w:styleId="424">
    <w:name w:val="Quote"/>
    <w:link w:val="425"/>
    <w:qFormat/>
    <w:uiPriority w:val="29"/>
    <w:rPr>
      <w:i/>
    </w:rPr>
    <w:pPr>
      <w:ind w:left="720" w:right="720"/>
    </w:pPr>
  </w:style>
  <w:style w:type="character" w:styleId="425">
    <w:name w:val="Quote Char"/>
    <w:link w:val="424"/>
    <w:uiPriority w:val="29"/>
    <w:rPr>
      <w:i/>
    </w:rPr>
  </w:style>
  <w:style w:type="paragraph" w:styleId="426">
    <w:name w:val="Intense Quote"/>
    <w:link w:val="427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27">
    <w:name w:val="Intense Quote Char"/>
    <w:link w:val="426"/>
    <w:uiPriority w:val="30"/>
    <w:rPr>
      <w:i/>
    </w:rPr>
  </w:style>
  <w:style w:type="paragraph" w:styleId="428">
    <w:name w:val="Header"/>
    <w:link w:val="42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29">
    <w:name w:val="Header Char"/>
    <w:link w:val="428"/>
    <w:uiPriority w:val="99"/>
  </w:style>
  <w:style w:type="paragraph" w:styleId="430">
    <w:name w:val="Footer"/>
    <w:link w:val="43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1">
    <w:name w:val="Footer Char"/>
    <w:link w:val="430"/>
    <w:uiPriority w:val="99"/>
  </w:style>
  <w:style w:type="paragraph" w:styleId="432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33">
    <w:name w:val="Caption Char"/>
    <w:basedOn w:val="432"/>
    <w:link w:val="430"/>
    <w:uiPriority w:val="99"/>
  </w:style>
  <w:style w:type="table" w:styleId="434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35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36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37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38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39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0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41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2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3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4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5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6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7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8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50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51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52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53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54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55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6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7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8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9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0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1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2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63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64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65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66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67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68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69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70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71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72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73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74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75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76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77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78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79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80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81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82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83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86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87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88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89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90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91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92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93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94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95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96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97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98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99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00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01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02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03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04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7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8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9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0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1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2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3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4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5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6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9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0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1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2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3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4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5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26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27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28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29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30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31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32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33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34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35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36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37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38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39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40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41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42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43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44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45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6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47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48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49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50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51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52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53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54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55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56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57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58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59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60">
    <w:name w:val="Hyperlink"/>
    <w:uiPriority w:val="99"/>
    <w:unhideWhenUsed/>
    <w:rPr>
      <w:color w:val="0000FF" w:themeColor="hyperlink"/>
      <w:u w:val="single"/>
    </w:rPr>
  </w:style>
  <w:style w:type="paragraph" w:styleId="561">
    <w:name w:val="footnote text"/>
    <w:link w:val="562"/>
    <w:uiPriority w:val="99"/>
    <w:semiHidden/>
    <w:unhideWhenUsed/>
    <w:rPr>
      <w:sz w:val="18"/>
    </w:rPr>
    <w:pPr>
      <w:spacing w:lineRule="auto" w:line="240" w:after="40"/>
    </w:pPr>
  </w:style>
  <w:style w:type="character" w:styleId="562">
    <w:name w:val="Footnote Text Char"/>
    <w:link w:val="561"/>
    <w:uiPriority w:val="99"/>
    <w:rPr>
      <w:sz w:val="18"/>
    </w:rPr>
  </w:style>
  <w:style w:type="character" w:styleId="563">
    <w:name w:val="footnote reference"/>
    <w:uiPriority w:val="99"/>
    <w:unhideWhenUsed/>
    <w:rPr>
      <w:vertAlign w:val="superscript"/>
    </w:rPr>
  </w:style>
  <w:style w:type="paragraph" w:styleId="564">
    <w:name w:val="toc 1"/>
    <w:uiPriority w:val="39"/>
    <w:unhideWhenUsed/>
    <w:pPr>
      <w:ind w:left="0" w:right="0" w:firstLine="0"/>
      <w:spacing w:after="57"/>
    </w:pPr>
  </w:style>
  <w:style w:type="paragraph" w:styleId="565">
    <w:name w:val="toc 2"/>
    <w:uiPriority w:val="39"/>
    <w:unhideWhenUsed/>
    <w:pPr>
      <w:ind w:left="283" w:right="0" w:firstLine="0"/>
      <w:spacing w:after="57"/>
    </w:pPr>
  </w:style>
  <w:style w:type="paragraph" w:styleId="566">
    <w:name w:val="toc 3"/>
    <w:uiPriority w:val="39"/>
    <w:unhideWhenUsed/>
    <w:pPr>
      <w:ind w:left="567" w:right="0" w:firstLine="0"/>
      <w:spacing w:after="57"/>
    </w:pPr>
  </w:style>
  <w:style w:type="paragraph" w:styleId="567">
    <w:name w:val="toc 4"/>
    <w:uiPriority w:val="39"/>
    <w:unhideWhenUsed/>
    <w:pPr>
      <w:ind w:left="850" w:right="0" w:firstLine="0"/>
      <w:spacing w:after="57"/>
    </w:pPr>
  </w:style>
  <w:style w:type="paragraph" w:styleId="568">
    <w:name w:val="toc 5"/>
    <w:uiPriority w:val="39"/>
    <w:unhideWhenUsed/>
    <w:pPr>
      <w:ind w:left="1134" w:right="0" w:firstLine="0"/>
      <w:spacing w:after="57"/>
    </w:pPr>
  </w:style>
  <w:style w:type="paragraph" w:styleId="569">
    <w:name w:val="toc 6"/>
    <w:uiPriority w:val="39"/>
    <w:unhideWhenUsed/>
    <w:pPr>
      <w:ind w:left="1417" w:right="0" w:firstLine="0"/>
      <w:spacing w:after="57"/>
    </w:pPr>
  </w:style>
  <w:style w:type="paragraph" w:styleId="570">
    <w:name w:val="toc 7"/>
    <w:uiPriority w:val="39"/>
    <w:unhideWhenUsed/>
    <w:pPr>
      <w:ind w:left="1701" w:right="0" w:firstLine="0"/>
      <w:spacing w:after="57"/>
    </w:pPr>
  </w:style>
  <w:style w:type="paragraph" w:styleId="571">
    <w:name w:val="toc 8"/>
    <w:uiPriority w:val="39"/>
    <w:unhideWhenUsed/>
    <w:pPr>
      <w:ind w:left="1984" w:right="0" w:firstLine="0"/>
      <w:spacing w:after="57"/>
    </w:pPr>
  </w:style>
  <w:style w:type="paragraph" w:styleId="572">
    <w:name w:val="toc 9"/>
    <w:uiPriority w:val="39"/>
    <w:unhideWhenUsed/>
    <w:pPr>
      <w:ind w:left="2268" w:right="0" w:firstLine="0"/>
      <w:spacing w:after="57"/>
    </w:pPr>
  </w:style>
  <w:style w:type="paragraph" w:styleId="573">
    <w:name w:val="TOC Heading"/>
    <w:uiPriority w:val="39"/>
    <w:unhideWhenUsed/>
  </w:style>
  <w:style w:type="paragraph" w:styleId="574">
    <w:name w:val="Обычный"/>
    <w:next w:val="574"/>
    <w:link w:val="574"/>
    <w:rPr>
      <w:sz w:val="24"/>
      <w:lang w:val="ru-RU" w:bidi="ar-SA" w:eastAsia="zh-CN"/>
    </w:rPr>
  </w:style>
  <w:style w:type="paragraph" w:styleId="575">
    <w:name w:val="Заголовок 1"/>
    <w:basedOn w:val="574"/>
    <w:next w:val="574"/>
    <w:link w:val="574"/>
    <w:rPr>
      <w:rFonts w:ascii="Arial" w:hAnsi="Arial"/>
      <w:b/>
      <w:sz w:val="28"/>
    </w:rPr>
    <w:pPr>
      <w:jc w:val="center"/>
      <w:keepLines/>
      <w:keepNext/>
      <w:spacing w:after="360" w:before="0"/>
    </w:pPr>
  </w:style>
  <w:style w:type="paragraph" w:styleId="576">
    <w:name w:val="Заголовок 2"/>
    <w:basedOn w:val="574"/>
    <w:next w:val="632"/>
    <w:link w:val="574"/>
    <w:rPr>
      <w:b/>
      <w:sz w:val="28"/>
    </w:rPr>
    <w:pPr>
      <w:numPr>
        <w:ilvl w:val="1"/>
        <w:numId w:val="1"/>
      </w:numPr>
      <w:jc w:val="center"/>
      <w:keepLines/>
      <w:keepNext/>
      <w:spacing w:after="360" w:before="0"/>
      <w:outlineLvl w:val="1"/>
    </w:pPr>
  </w:style>
  <w:style w:type="paragraph" w:styleId="577">
    <w:name w:val="Заголовок 3"/>
    <w:basedOn w:val="574"/>
    <w:next w:val="578"/>
    <w:link w:val="574"/>
    <w:rPr>
      <w:b/>
      <w:sz w:val="28"/>
    </w:rPr>
    <w:pPr>
      <w:numPr>
        <w:ilvl w:val="2"/>
        <w:numId w:val="1"/>
      </w:numPr>
      <w:keepLines/>
      <w:keepNext/>
      <w:spacing w:after="0" w:before="360"/>
      <w:outlineLvl w:val="2"/>
    </w:pPr>
  </w:style>
  <w:style w:type="paragraph" w:styleId="578">
    <w:name w:val="Заголовок 4"/>
    <w:basedOn w:val="574"/>
    <w:next w:val="632"/>
    <w:link w:val="574"/>
    <w:rPr>
      <w:b/>
      <w:lang w:val="en-US"/>
    </w:rPr>
    <w:pPr>
      <w:numPr>
        <w:ilvl w:val="3"/>
        <w:numId w:val="1"/>
      </w:numPr>
      <w:keepLines/>
      <w:keepNext/>
      <w:spacing w:after="0" w:before="240"/>
      <w:outlineLvl w:val="3"/>
    </w:pPr>
  </w:style>
  <w:style w:type="paragraph" w:styleId="579">
    <w:name w:val="Заголовок 5"/>
    <w:basedOn w:val="574"/>
    <w:next w:val="574"/>
    <w:link w:val="574"/>
    <w:rPr>
      <w:b/>
      <w:sz w:val="28"/>
    </w:rPr>
    <w:pPr>
      <w:numPr>
        <w:ilvl w:val="4"/>
        <w:numId w:val="1"/>
      </w:numPr>
      <w:ind w:left="0" w:right="284" w:firstLine="0"/>
      <w:jc w:val="center"/>
      <w:keepNext/>
      <w:spacing w:after="60" w:before="240"/>
      <w:outlineLvl w:val="4"/>
    </w:pPr>
  </w:style>
  <w:style w:type="paragraph" w:styleId="580">
    <w:name w:val="Заголовок 6"/>
    <w:basedOn w:val="574"/>
    <w:next w:val="574"/>
    <w:link w:val="574"/>
    <w:rPr>
      <w:sz w:val="28"/>
    </w:rPr>
    <w:pPr>
      <w:jc w:val="center"/>
      <w:keepNext/>
      <w:spacing w:after="60" w:before="240"/>
    </w:pPr>
  </w:style>
  <w:style w:type="paragraph" w:styleId="581">
    <w:name w:val="Заголовок 7"/>
    <w:basedOn w:val="574"/>
    <w:next w:val="574"/>
    <w:link w:val="574"/>
    <w:rPr>
      <w:rFonts w:ascii="Arial" w:hAnsi="Arial"/>
      <w:lang w:val="en-US"/>
    </w:rPr>
    <w:pPr>
      <w:numPr>
        <w:ilvl w:val="0"/>
        <w:numId w:val="3"/>
      </w:numPr>
      <w:jc w:val="center"/>
      <w:keepNext/>
      <w:spacing w:after="60" w:before="240"/>
    </w:pPr>
  </w:style>
  <w:style w:type="paragraph" w:styleId="582">
    <w:name w:val="Заголовок 8"/>
    <w:basedOn w:val="574"/>
    <w:next w:val="574"/>
    <w:link w:val="574"/>
    <w:pPr>
      <w:ind w:left="4536" w:right="0" w:firstLine="0"/>
      <w:spacing w:lineRule="exact" w:line="240" w:after="240" w:before="0"/>
    </w:pPr>
  </w:style>
  <w:style w:type="paragraph" w:styleId="583">
    <w:name w:val="Заголовок 9"/>
    <w:basedOn w:val="574"/>
    <w:next w:val="579"/>
    <w:link w:val="574"/>
    <w:pPr>
      <w:numPr>
        <w:ilvl w:val="0"/>
        <w:numId w:val="3"/>
      </w:numPr>
      <w:jc w:val="right"/>
      <w:keepLines/>
      <w:keepNext/>
      <w:spacing w:lineRule="exact" w:line="240" w:after="120" w:before="0"/>
    </w:pPr>
  </w:style>
  <w:style w:type="character" w:styleId="584">
    <w:name w:val="Основной шрифт абзаца"/>
    <w:next w:val="584"/>
    <w:link w:val="574"/>
    <w:semiHidden/>
  </w:style>
  <w:style w:type="table" w:styleId="585">
    <w:name w:val="Обычная таблица"/>
    <w:next w:val="585"/>
    <w:link w:val="574"/>
    <w:semiHidden/>
    <w:tblPr/>
  </w:style>
  <w:style w:type="numbering" w:styleId="586">
    <w:name w:val="Нет списка"/>
    <w:next w:val="586"/>
    <w:link w:val="574"/>
    <w:semiHidden/>
  </w:style>
  <w:style w:type="character" w:styleId="587">
    <w:name w:val="WW8Num1z0"/>
    <w:next w:val="587"/>
    <w:link w:val="574"/>
  </w:style>
  <w:style w:type="character" w:styleId="588">
    <w:name w:val="WW8Num1z1"/>
    <w:next w:val="588"/>
    <w:link w:val="574"/>
    <w:rPr>
      <w:sz w:val="24"/>
    </w:rPr>
  </w:style>
  <w:style w:type="character" w:styleId="589">
    <w:name w:val="WW8Num1z2"/>
    <w:next w:val="589"/>
    <w:link w:val="574"/>
    <w:rPr>
      <w:b/>
      <w:i w:val="false"/>
      <w:sz w:val="28"/>
      <w:szCs w:val="28"/>
    </w:rPr>
  </w:style>
  <w:style w:type="character" w:styleId="590">
    <w:name w:val="WW8Num1z3"/>
    <w:next w:val="590"/>
    <w:link w:val="574"/>
    <w:rPr>
      <w:b/>
      <w:i w:val="false"/>
      <w:sz w:val="24"/>
      <w:szCs w:val="24"/>
    </w:rPr>
  </w:style>
  <w:style w:type="character" w:styleId="591">
    <w:name w:val="WW8Num1z4"/>
    <w:next w:val="591"/>
    <w:link w:val="574"/>
  </w:style>
  <w:style w:type="character" w:styleId="592">
    <w:name w:val="WW8Num1z5"/>
    <w:next w:val="592"/>
    <w:link w:val="574"/>
  </w:style>
  <w:style w:type="character" w:styleId="593">
    <w:name w:val="WW8Num1z6"/>
    <w:next w:val="593"/>
    <w:link w:val="574"/>
  </w:style>
  <w:style w:type="character" w:styleId="594">
    <w:name w:val="WW8Num1z7"/>
    <w:next w:val="594"/>
    <w:link w:val="574"/>
  </w:style>
  <w:style w:type="character" w:styleId="595">
    <w:name w:val="WW8Num1z8"/>
    <w:next w:val="595"/>
    <w:link w:val="574"/>
  </w:style>
  <w:style w:type="character" w:styleId="596">
    <w:name w:val="WW8Num2z0"/>
    <w:next w:val="596"/>
    <w:link w:val="574"/>
  </w:style>
  <w:style w:type="character" w:styleId="597">
    <w:name w:val="WW8Num2z1"/>
    <w:next w:val="597"/>
    <w:link w:val="574"/>
    <w:rPr>
      <w:sz w:val="24"/>
    </w:rPr>
  </w:style>
  <w:style w:type="character" w:styleId="598">
    <w:name w:val="WW8Num2z2"/>
    <w:next w:val="598"/>
    <w:link w:val="574"/>
    <w:rPr>
      <w:b/>
      <w:i w:val="false"/>
      <w:sz w:val="28"/>
      <w:szCs w:val="28"/>
    </w:rPr>
  </w:style>
  <w:style w:type="character" w:styleId="599">
    <w:name w:val="WW8Num2z3"/>
    <w:next w:val="599"/>
    <w:link w:val="574"/>
    <w:rPr>
      <w:b/>
      <w:i w:val="false"/>
      <w:sz w:val="24"/>
      <w:szCs w:val="24"/>
    </w:rPr>
  </w:style>
  <w:style w:type="character" w:styleId="600">
    <w:name w:val="WW8Num2z7"/>
    <w:next w:val="600"/>
    <w:link w:val="574"/>
    <w:rPr>
      <w:b w:val="false"/>
      <w:i w:val="false"/>
      <w:sz w:val="24"/>
      <w:szCs w:val="24"/>
    </w:rPr>
  </w:style>
  <w:style w:type="character" w:styleId="601">
    <w:name w:val="WW8Num3z0"/>
    <w:next w:val="601"/>
    <w:link w:val="574"/>
  </w:style>
  <w:style w:type="character" w:styleId="602">
    <w:name w:val="WW8Num3z1"/>
    <w:next w:val="602"/>
    <w:link w:val="574"/>
    <w:rPr>
      <w:sz w:val="24"/>
    </w:rPr>
  </w:style>
  <w:style w:type="character" w:styleId="603">
    <w:name w:val="WW8Num3z2"/>
    <w:next w:val="603"/>
    <w:link w:val="574"/>
  </w:style>
  <w:style w:type="character" w:styleId="604">
    <w:name w:val="WW8Num3z3"/>
    <w:next w:val="604"/>
    <w:link w:val="574"/>
  </w:style>
  <w:style w:type="character" w:styleId="605">
    <w:name w:val="WW8Num3z4"/>
    <w:next w:val="605"/>
    <w:link w:val="574"/>
  </w:style>
  <w:style w:type="character" w:styleId="606">
    <w:name w:val="WW8Num3z5"/>
    <w:next w:val="606"/>
    <w:link w:val="574"/>
  </w:style>
  <w:style w:type="character" w:styleId="607">
    <w:name w:val="WW8Num3z6"/>
    <w:next w:val="607"/>
    <w:link w:val="574"/>
  </w:style>
  <w:style w:type="character" w:styleId="608">
    <w:name w:val="WW8Num3z7"/>
    <w:next w:val="608"/>
    <w:link w:val="574"/>
  </w:style>
  <w:style w:type="character" w:styleId="609">
    <w:name w:val="WW8Num3z8"/>
    <w:next w:val="609"/>
    <w:link w:val="574"/>
  </w:style>
  <w:style w:type="character" w:styleId="610">
    <w:name w:val="WW8Num4z0"/>
    <w:next w:val="610"/>
    <w:link w:val="574"/>
    <w:rPr>
      <w:rFonts w:ascii="Symbol" w:hAnsi="Symbol"/>
    </w:rPr>
  </w:style>
  <w:style w:type="character" w:styleId="611">
    <w:name w:val="WW8Num5z0"/>
    <w:next w:val="611"/>
    <w:link w:val="574"/>
  </w:style>
  <w:style w:type="character" w:styleId="612">
    <w:name w:val="WW8Num2z4"/>
    <w:next w:val="612"/>
    <w:link w:val="574"/>
  </w:style>
  <w:style w:type="character" w:styleId="613">
    <w:name w:val="WW8Num2z5"/>
    <w:next w:val="613"/>
    <w:link w:val="574"/>
  </w:style>
  <w:style w:type="character" w:styleId="614">
    <w:name w:val="WW8Num2z6"/>
    <w:next w:val="614"/>
    <w:link w:val="574"/>
  </w:style>
  <w:style w:type="character" w:styleId="615">
    <w:name w:val="WW8Num2z8"/>
    <w:next w:val="615"/>
    <w:link w:val="574"/>
  </w:style>
  <w:style w:type="character" w:styleId="616">
    <w:name w:val="WW8Num4z1"/>
    <w:next w:val="616"/>
    <w:link w:val="574"/>
  </w:style>
  <w:style w:type="character" w:styleId="617">
    <w:name w:val="WW8Num4z2"/>
    <w:next w:val="617"/>
    <w:link w:val="574"/>
  </w:style>
  <w:style w:type="character" w:styleId="618">
    <w:name w:val="WW8Num4z3"/>
    <w:next w:val="618"/>
    <w:link w:val="574"/>
  </w:style>
  <w:style w:type="character" w:styleId="619">
    <w:name w:val="WW8Num4z4"/>
    <w:next w:val="619"/>
    <w:link w:val="574"/>
  </w:style>
  <w:style w:type="character" w:styleId="620">
    <w:name w:val="WW8Num4z5"/>
    <w:next w:val="620"/>
    <w:link w:val="574"/>
  </w:style>
  <w:style w:type="character" w:styleId="621">
    <w:name w:val="WW8Num4z6"/>
    <w:next w:val="621"/>
    <w:link w:val="574"/>
  </w:style>
  <w:style w:type="character" w:styleId="622">
    <w:name w:val="WW8Num4z7"/>
    <w:next w:val="622"/>
    <w:link w:val="574"/>
  </w:style>
  <w:style w:type="character" w:styleId="623">
    <w:name w:val="WW8Num4z8"/>
    <w:next w:val="623"/>
    <w:link w:val="574"/>
  </w:style>
  <w:style w:type="character" w:styleId="624">
    <w:name w:val="Основной шрифт абзаца1"/>
    <w:next w:val="624"/>
    <w:link w:val="574"/>
  </w:style>
  <w:style w:type="character" w:styleId="625">
    <w:name w:val="Номер страницы"/>
    <w:next w:val="625"/>
    <w:link w:val="574"/>
    <w:rPr>
      <w:sz w:val="24"/>
      <w:szCs w:val="24"/>
    </w:rPr>
  </w:style>
  <w:style w:type="character" w:styleId="626">
    <w:name w:val="Заголовок 7 Знак"/>
    <w:next w:val="626"/>
    <w:link w:val="574"/>
    <w:rPr>
      <w:rFonts w:ascii="Arial" w:hAnsi="Arial"/>
      <w:sz w:val="24"/>
      <w:lang w:val="en-US"/>
    </w:rPr>
  </w:style>
  <w:style w:type="character" w:styleId="627">
    <w:name w:val="Основной текст Знак"/>
    <w:next w:val="627"/>
    <w:link w:val="574"/>
    <w:rPr>
      <w:sz w:val="24"/>
    </w:rPr>
  </w:style>
  <w:style w:type="character" w:styleId="628">
    <w:name w:val="Заголовок 4 Знак"/>
    <w:next w:val="628"/>
    <w:link w:val="574"/>
    <w:rPr>
      <w:b/>
      <w:sz w:val="24"/>
      <w:lang w:val="en-US"/>
    </w:rPr>
  </w:style>
  <w:style w:type="character" w:styleId="629">
    <w:name w:val="Текст выноски Знак"/>
    <w:next w:val="629"/>
    <w:link w:val="574"/>
    <w:rPr>
      <w:rFonts w:ascii="Tahoma" w:hAnsi="Tahoma"/>
      <w:sz w:val="16"/>
      <w:szCs w:val="16"/>
    </w:rPr>
  </w:style>
  <w:style w:type="character" w:styleId="630">
    <w:name w:val="Гиперссылка"/>
    <w:next w:val="630"/>
    <w:link w:val="574"/>
    <w:rPr>
      <w:color w:val="000080"/>
      <w:u w:val="single"/>
      <w:lang w:val="en-US" w:bidi="en-US" w:eastAsia="en-US"/>
    </w:rPr>
  </w:style>
  <w:style w:type="paragraph" w:styleId="631">
    <w:name w:val="Заголовок"/>
    <w:basedOn w:val="574"/>
    <w:next w:val="632"/>
    <w:link w:val="574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632">
    <w:name w:val="Основной текст"/>
    <w:basedOn w:val="574"/>
    <w:next w:val="632"/>
    <w:link w:val="574"/>
    <w:rPr>
      <w:lang w:val="en-US"/>
    </w:rPr>
    <w:pPr>
      <w:ind w:left="0" w:right="0" w:firstLine="567"/>
      <w:jc w:val="both"/>
      <w:spacing w:after="0" w:before="120"/>
      <w:widowControl/>
    </w:pPr>
  </w:style>
  <w:style w:type="paragraph" w:styleId="633">
    <w:name w:val="Список"/>
    <w:basedOn w:val="632"/>
    <w:next w:val="633"/>
    <w:link w:val="574"/>
    <w:rPr>
      <w:rFonts w:ascii="PT Sans" w:hAnsi="PT Sans"/>
    </w:rPr>
  </w:style>
  <w:style w:type="paragraph" w:styleId="634">
    <w:name w:val="Название объекта"/>
    <w:basedOn w:val="574"/>
    <w:next w:val="634"/>
    <w:link w:val="574"/>
    <w:rPr>
      <w:rFonts w:ascii="PT Sans" w:hAnsi="PT Sans"/>
      <w:i/>
      <w:iCs/>
      <w:sz w:val="24"/>
      <w:szCs w:val="24"/>
    </w:rPr>
    <w:pPr>
      <w:spacing w:after="120" w:before="120"/>
    </w:pPr>
  </w:style>
  <w:style w:type="paragraph" w:styleId="635">
    <w:name w:val="Указатель1"/>
    <w:basedOn w:val="574"/>
    <w:next w:val="635"/>
    <w:link w:val="574"/>
    <w:rPr>
      <w:rFonts w:ascii="PT Sans" w:hAnsi="PT Sans"/>
    </w:rPr>
  </w:style>
  <w:style w:type="paragraph" w:styleId="636">
    <w:name w:val="Верхний и нижний колонтитулы"/>
    <w:basedOn w:val="574"/>
    <w:next w:val="636"/>
    <w:link w:val="574"/>
    <w:pPr>
      <w:tabs>
        <w:tab w:val="center" w:pos="4819" w:leader="none"/>
        <w:tab w:val="right" w:pos="9638" w:leader="none"/>
      </w:tabs>
    </w:pPr>
  </w:style>
  <w:style w:type="paragraph" w:styleId="637">
    <w:name w:val="Верхний колонтитул"/>
    <w:basedOn w:val="574"/>
    <w:next w:val="637"/>
    <w:link w:val="574"/>
    <w:pPr>
      <w:tabs>
        <w:tab w:val="center" w:pos="4536" w:leader="none"/>
        <w:tab w:val="right" w:pos="9072" w:leader="none"/>
      </w:tabs>
    </w:pPr>
  </w:style>
  <w:style w:type="paragraph" w:styleId="638">
    <w:name w:val="Нижний колонтитул"/>
    <w:basedOn w:val="574"/>
    <w:next w:val="638"/>
    <w:link w:val="574"/>
    <w:rPr>
      <w:sz w:val="16"/>
    </w:rPr>
    <w:pPr>
      <w:jc w:val="right"/>
      <w:tabs>
        <w:tab w:val="center" w:pos="4536" w:leader="none"/>
        <w:tab w:val="right" w:pos="9072" w:leader="none"/>
      </w:tabs>
    </w:pPr>
  </w:style>
  <w:style w:type="paragraph" w:styleId="639">
    <w:name w:val="Основной текст с отступом"/>
    <w:basedOn w:val="574"/>
    <w:next w:val="639"/>
    <w:link w:val="574"/>
    <w:rPr>
      <w:sz w:val="20"/>
      <w:szCs w:val="20"/>
    </w:rPr>
    <w:pPr>
      <w:ind w:left="284" w:right="0" w:firstLine="284"/>
      <w:jc w:val="both"/>
      <w:spacing w:after="0" w:before="60"/>
    </w:pPr>
  </w:style>
  <w:style w:type="paragraph" w:styleId="640">
    <w:name w:val="Подпись"/>
    <w:basedOn w:val="574"/>
    <w:next w:val="574"/>
    <w:link w:val="574"/>
    <w:pPr>
      <w:ind w:left="1276" w:right="0" w:firstLine="0"/>
      <w:spacing w:after="0" w:before="600"/>
      <w:tabs>
        <w:tab w:val="left" w:pos="6237" w:leader="none"/>
      </w:tabs>
    </w:pPr>
  </w:style>
  <w:style w:type="paragraph" w:styleId="641">
    <w:name w:val="Стиль1"/>
    <w:basedOn w:val="574"/>
    <w:next w:val="641"/>
    <w:link w:val="574"/>
    <w:rPr>
      <w:sz w:val="18"/>
      <w:szCs w:val="18"/>
    </w:rPr>
    <w:pPr>
      <w:numPr>
        <w:ilvl w:val="0"/>
        <w:numId w:val="2"/>
      </w:numPr>
      <w:jc w:val="both"/>
      <w:spacing w:after="0" w:before="120"/>
    </w:pPr>
  </w:style>
  <w:style w:type="paragraph" w:styleId="642">
    <w:name w:val="Стиль2"/>
    <w:basedOn w:val="641"/>
    <w:next w:val="642"/>
    <w:link w:val="574"/>
    <w:pPr>
      <w:numPr>
        <w:ilvl w:val="0"/>
        <w:numId w:val="2"/>
      </w:numPr>
      <w:spacing w:after="0" w:before="60"/>
    </w:pPr>
  </w:style>
  <w:style w:type="paragraph" w:styleId="643">
    <w:name w:val="Перечень рисунков1"/>
    <w:basedOn w:val="574"/>
    <w:next w:val="574"/>
    <w:link w:val="574"/>
    <w:pPr>
      <w:ind w:left="480" w:right="0" w:hanging="480"/>
    </w:pPr>
  </w:style>
  <w:style w:type="paragraph" w:styleId="644">
    <w:name w:val="Стиль3"/>
    <w:basedOn w:val="574"/>
    <w:next w:val="644"/>
    <w:link w:val="574"/>
    <w:pPr>
      <w:numPr>
        <w:ilvl w:val="0"/>
        <w:numId w:val="4"/>
      </w:numPr>
      <w:jc w:val="both"/>
    </w:pPr>
  </w:style>
  <w:style w:type="paragraph" w:styleId="645">
    <w:name w:val="Стиль4"/>
    <w:basedOn w:val="574"/>
    <w:next w:val="645"/>
    <w:link w:val="574"/>
    <w:pPr>
      <w:numPr>
        <w:ilvl w:val="0"/>
        <w:numId w:val="2"/>
      </w:numPr>
      <w:jc w:val="both"/>
      <w:spacing w:after="0" w:before="60"/>
    </w:pPr>
  </w:style>
  <w:style w:type="paragraph" w:styleId="646">
    <w:name w:val="Стиль11"/>
    <w:basedOn w:val="574"/>
    <w:next w:val="646"/>
    <w:link w:val="574"/>
    <w:pPr>
      <w:numPr>
        <w:ilvl w:val="0"/>
        <w:numId w:val="5"/>
      </w:numPr>
      <w:jc w:val="both"/>
      <w:spacing w:after="0" w:before="120"/>
    </w:pPr>
  </w:style>
  <w:style w:type="paragraph" w:styleId="647">
    <w:name w:val="Заголовок 6_1"/>
    <w:basedOn w:val="574"/>
    <w:next w:val="647"/>
    <w:link w:val="574"/>
    <w:rPr>
      <w:b/>
      <w:sz w:val="24"/>
      <w:szCs w:val="24"/>
    </w:rPr>
    <w:pPr>
      <w:ind w:left="1134" w:right="0" w:hanging="567"/>
      <w:keepNext/>
      <w:spacing w:after="0" w:before="240"/>
    </w:pPr>
  </w:style>
  <w:style w:type="paragraph" w:styleId="648">
    <w:name w:val="Текст выноски"/>
    <w:basedOn w:val="574"/>
    <w:next w:val="648"/>
    <w:link w:val="574"/>
    <w:rPr>
      <w:rFonts w:ascii="Tahoma" w:hAnsi="Tahoma"/>
      <w:sz w:val="16"/>
      <w:szCs w:val="16"/>
      <w:lang w:val="en-US"/>
    </w:rPr>
  </w:style>
  <w:style w:type="paragraph" w:styleId="649">
    <w:name w:val="Содержимое врезки"/>
    <w:basedOn w:val="574"/>
    <w:next w:val="649"/>
    <w:link w:val="574"/>
  </w:style>
  <w:style w:type="character" w:styleId="650">
    <w:name w:val="Знак примечания"/>
    <w:next w:val="650"/>
    <w:link w:val="574"/>
    <w:semiHidden/>
    <w:rPr>
      <w:sz w:val="16"/>
      <w:szCs w:val="16"/>
    </w:rPr>
  </w:style>
  <w:style w:type="paragraph" w:styleId="651">
    <w:name w:val="Текст примечания"/>
    <w:basedOn w:val="574"/>
    <w:next w:val="651"/>
    <w:link w:val="652"/>
    <w:semiHidden/>
    <w:rPr>
      <w:sz w:val="20"/>
    </w:rPr>
  </w:style>
  <w:style w:type="character" w:styleId="652">
    <w:name w:val="Текст примечания Знак"/>
    <w:next w:val="652"/>
    <w:link w:val="651"/>
    <w:semiHidden/>
    <w:rPr>
      <w:lang w:eastAsia="zh-CN"/>
    </w:rPr>
  </w:style>
  <w:style w:type="paragraph" w:styleId="653">
    <w:name w:val="Тема примечания"/>
    <w:basedOn w:val="651"/>
    <w:next w:val="651"/>
    <w:link w:val="654"/>
    <w:semiHidden/>
    <w:rPr>
      <w:b/>
      <w:bCs/>
    </w:rPr>
  </w:style>
  <w:style w:type="character" w:styleId="654">
    <w:name w:val="Тема примечания Знак"/>
    <w:next w:val="654"/>
    <w:link w:val="653"/>
    <w:semiHidden/>
    <w:rPr>
      <w:b/>
      <w:bCs/>
      <w:lang w:eastAsia="zh-CN"/>
    </w:rPr>
  </w:style>
  <w:style w:type="character" w:styleId="655" w:default="1">
    <w:name w:val="Default Paragraph Font"/>
    <w:uiPriority w:val="1"/>
    <w:semiHidden/>
    <w:unhideWhenUsed/>
  </w:style>
  <w:style w:type="numbering" w:styleId="656" w:default="1">
    <w:name w:val="No List"/>
    <w:uiPriority w:val="99"/>
    <w:semiHidden/>
    <w:unhideWhenUsed/>
  </w:style>
  <w:style w:type="paragraph" w:styleId="657" w:default="1">
    <w:name w:val="Normal"/>
    <w:qFormat/>
  </w:style>
  <w:style w:type="table" w:styleId="65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2024-03-20T06:20:03Z</dcterms:modified>
</cp:coreProperties>
</file>