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37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СВОДНЫЙ ОТЧЕТ</w:t>
      </w:r>
      <w:r/>
    </w:p>
    <w:p>
      <w:pPr>
        <w:pStyle w:val="37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проведения оценки регулирующего воздействия </w:t>
      </w:r>
      <w:r>
        <w:rPr>
          <w:b/>
          <w:sz w:val="28"/>
          <w:szCs w:val="28"/>
        </w:rPr>
      </w:r>
      <w:r/>
    </w:p>
    <w:p>
      <w:pPr>
        <w:pStyle w:val="37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проекта нормативного правового акта</w:t>
      </w:r>
      <w:r/>
    </w:p>
    <w:p>
      <w:pPr>
        <w:pStyle w:val="37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373"/>
        <w:jc w:val="center"/>
        <w:rPr>
          <w:b/>
          <w:sz w:val="28"/>
          <w:szCs w:val="28"/>
        </w:rPr>
        <w:outlineLvl w:val="2"/>
      </w:pPr>
      <w:r/>
      <w:bookmarkStart w:id="0" w:name="Par140"/>
      <w:r/>
      <w:bookmarkEnd w:id="0"/>
      <w:r>
        <w:rPr>
          <w:b/>
          <w:sz w:val="28"/>
          <w:szCs w:val="28"/>
        </w:rPr>
        <w:t xml:space="preserve">1. Общая информация</w:t>
      </w:r>
      <w:r/>
    </w:p>
    <w:tbl>
      <w:tblPr>
        <w:tblW w:w="15228" w:type="dxa"/>
        <w:jc w:val="center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345"/>
        <w:gridCol w:w="888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1.1.</w:t>
            </w:r>
            <w:r>
              <w:rPr>
                <w:sz w:val="28"/>
                <w:szCs w:val="28"/>
              </w:rPr>
              <w:t xml:space="preserve"> Наименование разработчика</w:t>
            </w:r>
            <w:r>
              <w:rPr>
                <w:sz w:val="28"/>
                <w:szCs w:val="28"/>
              </w:rPr>
              <w:t xml:space="preserve">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83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Министерство сельского хозяйства Пензенской области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1.2.Вид и наименование проекта нормативного правового акта: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83" w:type="dxa"/>
            <w:vAlign w:val="top"/>
            <w:textDirection w:val="lrTb"/>
            <w:noWrap w:val="false"/>
          </w:tcPr>
          <w:p>
            <w:pPr>
              <w:pStyle w:val="373"/>
              <w:ind w:left="-45" w:firstLine="45"/>
              <w:jc w:val="both"/>
              <w:rPr>
                <w:sz w:val="28"/>
                <w:szCs w:val="28"/>
              </w:rPr>
              <w:outlineLvl w:val="2"/>
            </w:pPr>
            <w:r>
              <w:rPr>
                <w:color w:val="000000"/>
                <w:spacing w:val="-7"/>
                <w:sz w:val="28"/>
                <w:szCs w:val="28"/>
              </w:rPr>
              <w:t xml:space="preserve">Проект </w:t>
            </w:r>
            <w:r>
              <w:rPr>
                <w:sz w:val="28"/>
                <w:szCs w:val="28"/>
              </w:rPr>
              <w:t xml:space="preserve">постановления Правительства Пензенской области «</w:t>
            </w:r>
            <w:r>
              <w:rPr>
                <w:bCs/>
                <w:sz w:val="28"/>
                <w:szCs w:val="28"/>
              </w:rPr>
              <w:t xml:space="preserve">О внесении изменений в отдельные постановления Правительства Пензенской области</w:t>
            </w:r>
            <w:r>
              <w:rPr>
                <w:bCs/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1.3.Степень регулирующего воздействия проекта нормативного правового акта: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83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Высокая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</w:t>
            </w:r>
            <w:r>
              <w:rPr>
                <w:sz w:val="28"/>
                <w:szCs w:val="28"/>
              </w:rPr>
              <w:t xml:space="preserve">Обоснование отнесения проекта нормативного правового акта к определенной степени регулирующего воздействия</w:t>
            </w:r>
            <w:r>
              <w:rPr>
                <w:sz w:val="28"/>
                <w:szCs w:val="28"/>
              </w:rPr>
              <w:t xml:space="preserve">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83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  <w:outlineLvl w:val="0"/>
            </w:pPr>
            <w:r>
              <w:rPr>
                <w:sz w:val="28"/>
                <w:szCs w:val="28"/>
              </w:rPr>
              <w:t xml:space="preserve">Внесение изменений обусловлено</w:t>
            </w:r>
            <w:r>
              <w:rPr>
                <w:rFonts w:ascii="        Times New Roman" w:hAnsi="        Times New Roman" w:cs="        Times New Roman" w:eastAsia="        Times New Roman"/>
                <w:b w:val="false"/>
                <w:color w:val="000000"/>
                <w:spacing w:val="0"/>
                <w:position w:val="0"/>
                <w:sz w:val="28"/>
              </w:rPr>
              <w:t xml:space="preserve"> изданием постановления Правительства Российской Федерации от 30.11.</w:t>
            </w:r>
            <w:r>
              <w:rPr>
                <w:rFonts w:ascii="        Times New Roman" w:hAnsi="        Times New Roman" w:cs="        Times New Roman" w:eastAsia="        Times New Roman"/>
                <w:b w:val="false"/>
                <w:color w:val="000000"/>
                <w:spacing w:val="0"/>
                <w:position w:val="0"/>
                <w:sz w:val="28"/>
              </w:rPr>
              <w:t xml:space="preserve">2020 № 1969 «Об особенностях формирования ежегодных планов проведения плановых проверок юридических лиц и индивидуальных предпринимателей на 2021 год, проведения проверок в 2021 году и внесении изменений в пункт 7 Правил подготовки органами государственног</w:t>
            </w:r>
            <w:r>
              <w:rPr>
                <w:rFonts w:ascii="        Times New Roman" w:hAnsi="        Times New Roman" w:cs="        Times New Roman" w:eastAsia="        Times New Roman"/>
                <w:b w:val="false"/>
                <w:color w:val="000000"/>
                <w:spacing w:val="0"/>
                <w:position w:val="0"/>
                <w:sz w:val="28"/>
              </w:rPr>
              <w:t xml:space="preserve">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 устанавливающим особенности проведения проверок в 2021 году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1.5.</w:t>
            </w:r>
            <w:r>
              <w:rPr>
                <w:sz w:val="28"/>
                <w:szCs w:val="28"/>
              </w:rPr>
              <w:t xml:space="preserve">Краткое описание содержания предлагаемого правового регулирования, основание для разработки проекта нормативного правового акта</w:t>
            </w:r>
            <w:r>
              <w:rPr>
                <w:sz w:val="28"/>
                <w:szCs w:val="28"/>
              </w:rPr>
              <w:t xml:space="preserve">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83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</w:r>
            <w:r>
              <w:rPr>
                <w:rFonts w:ascii="        Times New Roman" w:hAnsi="        Times New Roman" w:cs="        Times New Roman" w:eastAsia="        Times New Roman"/>
                <w:b w:val="false"/>
                <w:color w:val="000000"/>
                <w:spacing w:val="0"/>
                <w:position w:val="0"/>
                <w:sz w:val="28"/>
              </w:rPr>
              <w:t xml:space="preserve">Постановлением Правительства Российской Федерации от 30.11.</w:t>
            </w:r>
            <w:r>
              <w:rPr>
                <w:rFonts w:ascii="        Times New Roman" w:hAnsi="        Times New Roman" w:cs="        Times New Roman" w:eastAsia="        Times New Roman"/>
                <w:b w:val="false"/>
                <w:color w:val="000000"/>
                <w:spacing w:val="0"/>
                <w:position w:val="0"/>
                <w:sz w:val="28"/>
              </w:rPr>
              <w:t xml:space="preserve">2020 № 1969 «Об особенностях формирования ежегодных планов проведения плановых проверок юридических лиц и индивидуальных предпринимателей на 2021 год, проведения проверок в 2021 году и внесении изменений в пункт 7 Правил подготовки органами государственног</w:t>
            </w:r>
            <w:r>
              <w:rPr>
                <w:rFonts w:ascii="        Times New Roman" w:hAnsi="        Times New Roman" w:cs="        Times New Roman" w:eastAsia="        Times New Roman"/>
                <w:b w:val="false"/>
                <w:color w:val="000000"/>
                <w:spacing w:val="0"/>
                <w:position w:val="0"/>
                <w:sz w:val="28"/>
              </w:rPr>
              <w:t xml:space="preserve">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 устанавливающим особенности проведения проверок в 2021 году, в части порядка  и срока </w:t>
            </w:r>
            <w:r>
              <w:rPr>
                <w:rFonts w:ascii="        Times New Roman" w:hAnsi="        Times New Roman" w:cs="        Times New Roman" w:eastAsia="        Times New Roman"/>
                <w:b w:val="false"/>
                <w:color w:val="000000"/>
                <w:spacing w:val="0"/>
                <w:position w:val="0"/>
                <w:sz w:val="28"/>
              </w:rPr>
              <w:t xml:space="preserve">проведения </w:t>
            </w:r>
            <w:r>
              <w:rPr>
                <w:sz w:val="28"/>
              </w:rPr>
            </w:r>
            <w:r>
              <w:rPr>
                <w:rFonts w:ascii="        Times New Roman" w:hAnsi="        Times New Roman" w:cs="        Times New Roman" w:eastAsia="        Times New Roman"/>
                <w:b w:val="false"/>
                <w:color w:val="000000"/>
                <w:spacing w:val="0"/>
                <w:position w:val="0"/>
                <w:sz w:val="28"/>
              </w:rPr>
              <w:t xml:space="preserve">проверок, возможности проведения проведения  проверок</w:t>
            </w:r>
            <w:r>
              <w:rPr>
                <w:rFonts w:ascii="        Times New Roman" w:hAnsi="        Times New Roman" w:cs="        Times New Roman" w:eastAsia="        Times New Roman"/>
                <w:b w:val="false"/>
                <w:color w:val="000000"/>
                <w:spacing w:val="0"/>
                <w:position w:val="0"/>
                <w:sz w:val="28"/>
              </w:rPr>
              <w:t xml:space="preserve"> с использованием средств дистанционного взаимодействия, в том числе аудио- или видеосвязи,</w:t>
            </w:r>
            <w:r>
              <w:rPr>
                <w:rFonts w:ascii="        Times New Roman" w:hAnsi="        Times New Roman" w:cs="        Times New Roman" w:eastAsia="        Times New Roman"/>
                <w:b w:val="false"/>
                <w:color w:val="000000"/>
                <w:spacing w:val="0"/>
                <w:position w:val="0"/>
                <w:sz w:val="28"/>
              </w:rPr>
              <w:t xml:space="preserve">  а также замены проверки </w:t>
            </w:r>
            <w:r>
              <w:rPr>
                <w:rFonts w:ascii="        Times New Roman" w:hAnsi="        Times New Roman" w:cs="        Times New Roman" w:eastAsia="        Times New Roman"/>
                <w:b w:val="false"/>
                <w:color w:val="000000"/>
                <w:spacing w:val="0"/>
                <w:position w:val="0"/>
                <w:sz w:val="28"/>
              </w:rPr>
              <w:t xml:space="preserve">инспекционным визитом</w:t>
            </w:r>
            <w:r>
              <w:rPr>
                <w:rFonts w:ascii="        Times New Roman" w:hAnsi="        Times New Roman" w:cs="        Times New Roman" w:eastAsia="        Times New Roman"/>
                <w:b w:val="false"/>
                <w:color w:val="000000"/>
                <w:spacing w:val="0"/>
                <w:position w:val="0"/>
                <w:sz w:val="28"/>
              </w:rPr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1.6.</w:t>
            </w:r>
            <w:r/>
            <w:r>
              <w:rPr>
                <w:sz w:val="28"/>
                <w:szCs w:val="28"/>
              </w:rPr>
              <w:t xml:space="preserve">Контактная информация исполнителя разработчика:</w:t>
            </w:r>
            <w:r/>
          </w:p>
          <w:p>
            <w:pPr>
              <w:pStyle w:val="373"/>
              <w:jc w:val="both"/>
              <w:outlineLvl w:val="2"/>
            </w:pPr>
            <w:r>
              <w:rPr>
                <w:sz w:val="28"/>
                <w:szCs w:val="28"/>
              </w:rPr>
              <w:t xml:space="preserve">Ф.И.О.</w:t>
            </w:r>
            <w:r/>
          </w:p>
          <w:p>
            <w:pPr>
              <w:pStyle w:val="373"/>
              <w:jc w:val="both"/>
              <w:outlineLvl w:val="2"/>
            </w:pPr>
            <w:r>
              <w:rPr>
                <w:sz w:val="28"/>
                <w:szCs w:val="28"/>
              </w:rPr>
              <w:t xml:space="preserve">Должность</w:t>
            </w:r>
            <w:r/>
          </w:p>
          <w:p>
            <w:pPr>
              <w:pStyle w:val="373"/>
              <w:jc w:val="both"/>
              <w:outlineLvl w:val="2"/>
            </w:pPr>
            <w:r>
              <w:rPr>
                <w:sz w:val="28"/>
                <w:szCs w:val="28"/>
              </w:rPr>
              <w:t xml:space="preserve">Контактный телефон</w:t>
            </w:r>
            <w:r/>
          </w:p>
          <w:p>
            <w:pPr>
              <w:pStyle w:val="373"/>
              <w:jc w:val="both"/>
              <w:outlineLvl w:val="2"/>
            </w:pPr>
            <w:r>
              <w:rPr>
                <w:sz w:val="28"/>
                <w:szCs w:val="28"/>
              </w:rPr>
              <w:t xml:space="preserve">Адрес электронной почты</w:t>
            </w:r>
            <w:r/>
            <w:r>
              <w:rPr>
                <w:sz w:val="28"/>
                <w:szCs w:val="28"/>
              </w:rPr>
              <w:t xml:space="preserve">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83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color w:val="000000"/>
                <w:sz w:val="28"/>
                <w:szCs w:val="28"/>
              </w:rPr>
              <w:outlineLvl w:val="2"/>
            </w:pPr>
            <w:r>
              <w:rPr>
                <w:color w:val="000000"/>
                <w:sz w:val="28"/>
                <w:szCs w:val="28"/>
              </w:rPr>
              <w:t xml:space="preserve">Акрытов Михаил Константинович,</w:t>
            </w:r>
            <w:r/>
          </w:p>
          <w:p>
            <w:pPr>
              <w:pStyle w:val="373"/>
              <w:jc w:val="both"/>
              <w:rPr>
                <w:color w:val="000000"/>
                <w:sz w:val="28"/>
                <w:szCs w:val="28"/>
              </w:rPr>
              <w:outlineLvl w:val="2"/>
            </w:pPr>
            <w:r>
              <w:rPr>
                <w:color w:val="000000"/>
                <w:sz w:val="28"/>
                <w:szCs w:val="28"/>
              </w:rPr>
              <w:t xml:space="preserve">главный специалист - эксперт управления рынка продовольствия и лицензирования Министерства сельского хозяйства Пензенской области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373"/>
              <w:jc w:val="both"/>
              <w:rPr>
                <w:color w:val="000000"/>
                <w:sz w:val="28"/>
                <w:szCs w:val="28"/>
              </w:rPr>
              <w:outlineLvl w:val="2"/>
            </w:pPr>
            <w:r>
              <w:rPr>
                <w:color w:val="000000"/>
                <w:sz w:val="28"/>
                <w:szCs w:val="28"/>
              </w:rPr>
              <w:t xml:space="preserve">56-35-51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373"/>
              <w:jc w:val="both"/>
              <w:rPr>
                <w:rFonts w:ascii="Times New Roman" w:hAnsi="Times New Roman" w:cs="Times New Roman" w:eastAsia="Times New Roman"/>
                <w:color w:val="000000" w:themeColor="text1"/>
                <w:sz w:val="28"/>
                <w:szCs w:val="28"/>
              </w:rPr>
              <w:outlineLvl w:val="2"/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white"/>
              </w:rPr>
              <w:t xml:space="preserve">akrytov85-nlmk@mail.ru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szCs w:val="28"/>
              </w:rPr>
            </w:r>
          </w:p>
        </w:tc>
      </w:tr>
    </w:tbl>
    <w:p>
      <w:pPr>
        <w:pStyle w:val="373"/>
        <w:jc w:val="center"/>
        <w:rPr>
          <w:b/>
          <w:sz w:val="28"/>
          <w:szCs w:val="28"/>
        </w:rPr>
        <w:outlineLvl w:val="2"/>
      </w:pPr>
      <w:r/>
      <w:bookmarkStart w:id="1" w:name="Par158"/>
      <w:r/>
      <w:bookmarkEnd w:id="1"/>
      <w:r>
        <w:rPr>
          <w:b/>
          <w:sz w:val="28"/>
          <w:szCs w:val="28"/>
        </w:rPr>
      </w:r>
      <w:r/>
    </w:p>
    <w:p>
      <w:pPr>
        <w:pStyle w:val="373"/>
        <w:jc w:val="center"/>
        <w:rPr>
          <w:b/>
          <w:sz w:val="28"/>
          <w:szCs w:val="28"/>
        </w:rPr>
        <w:outlineLvl w:val="2"/>
      </w:pPr>
      <w:r>
        <w:rPr>
          <w:b/>
          <w:sz w:val="28"/>
          <w:szCs w:val="28"/>
        </w:rPr>
        <w:t xml:space="preserve">2. Описание проблемы, на решение которой направлено предлагаемое правовое регулирование</w:t>
      </w:r>
      <w:r/>
    </w:p>
    <w:tbl>
      <w:tblPr>
        <w:tblW w:w="15228" w:type="dxa"/>
        <w:jc w:val="center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345"/>
        <w:gridCol w:w="888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</w:t>
            </w:r>
            <w:r>
              <w:rPr>
                <w:sz w:val="28"/>
                <w:szCs w:val="28"/>
              </w:rPr>
              <w:t xml:space="preserve"> Описание и причины возникновения проблемы, на решение которой направлен предлагаемый способ регулирования</w:t>
            </w:r>
            <w:r>
              <w:rPr>
                <w:sz w:val="28"/>
                <w:szCs w:val="28"/>
              </w:rPr>
              <w:t xml:space="preserve">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83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rFonts w:ascii="Times New Roman" w:hAnsi="Times New Roman" w:cs="Times New Roman" w:eastAsia="Times New Roman"/>
                <w:color w:val="FF0000"/>
                <w:sz w:val="28"/>
                <w:szCs w:val="28"/>
              </w:rPr>
              <w:outlineLvl w:val="2"/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pacing w:val="0"/>
                <w:position w:val="0"/>
                <w:sz w:val="28"/>
              </w:rPr>
              <w:t xml:space="preserve">Издание постановления Правительства Российской Федерации от 30.11.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pacing w:val="0"/>
                <w:position w:val="0"/>
                <w:sz w:val="28"/>
              </w:rPr>
              <w:t xml:space="preserve">2020 № 1969 «Об особенностях формирования ежегодных планов проведения плановых проверок юридических лиц и индивидуальных предпринимателей на 2021 год, проведения проверок в 2021 году и внесении изменений в пункт 7 Правил подготовки органами государственног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pacing w:val="0"/>
                <w:position w:val="0"/>
                <w:sz w:val="28"/>
              </w:rPr>
              <w:t xml:space="preserve">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</w:t>
            </w:r>
            <w:r>
              <w:rPr>
                <w:rFonts w:ascii="Times New Roman" w:hAnsi="Times New Roman" w:cs="Times New Roman" w:eastAsia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2.2.</w:t>
            </w:r>
            <w:r>
              <w:rPr>
                <w:sz w:val="28"/>
                <w:szCs w:val="28"/>
              </w:rPr>
              <w:t xml:space="preserve">Характеристика негативных эффектов, возникающих в связи с наличием проблемы, их количественная оценка</w:t>
            </w:r>
            <w:r>
              <w:rPr>
                <w:sz w:val="28"/>
                <w:szCs w:val="28"/>
              </w:rPr>
              <w:t xml:space="preserve">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83" w:type="dxa"/>
            <w:vAlign w:val="top"/>
            <w:textDirection w:val="lrTb"/>
            <w:noWrap w:val="false"/>
          </w:tcPr>
          <w:p>
            <w:pPr>
              <w:pStyle w:val="37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Нарушение порядка осуществления регионального контроля</w:t>
            </w:r>
            <w:r/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2.3.</w:t>
            </w:r>
            <w:r>
              <w:rPr>
                <w:sz w:val="28"/>
                <w:szCs w:val="28"/>
              </w:rPr>
              <w:t xml:space="preserve">Информация о мерах, принятых ранее для ее решения, достигнутых результатах и затраченных ресурсах</w:t>
            </w:r>
            <w:r>
              <w:rPr>
                <w:sz w:val="28"/>
                <w:szCs w:val="28"/>
              </w:rPr>
              <w:t xml:space="preserve">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83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2.4.</w:t>
            </w:r>
            <w:r>
              <w:rPr>
                <w:sz w:val="28"/>
                <w:szCs w:val="28"/>
              </w:rPr>
              <w:t xml:space="preserve">Прогноз развития ситуации при сохранении текущего регулирования</w:t>
            </w:r>
            <w:r>
              <w:rPr>
                <w:sz w:val="28"/>
                <w:szCs w:val="28"/>
              </w:rPr>
              <w:t xml:space="preserve">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83" w:type="dxa"/>
            <w:vAlign w:val="top"/>
            <w:textDirection w:val="lrTb"/>
            <w:noWrap w:val="false"/>
          </w:tcPr>
          <w:p>
            <w:pPr>
              <w:pStyle w:val="373"/>
              <w:jc w:val="both"/>
            </w:pPr>
            <w:r>
              <w:rPr>
                <w:sz w:val="28"/>
                <w:szCs w:val="28"/>
              </w:rPr>
              <w:t xml:space="preserve">Проблема будет существовать</w:t>
            </w:r>
            <w:r>
              <w:rPr>
                <w:sz w:val="28"/>
                <w:szCs w:val="28"/>
              </w:rPr>
            </w:r>
            <w:r/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2.5.</w:t>
            </w:r>
            <w:r/>
            <w:r>
              <w:rPr>
                <w:sz w:val="28"/>
                <w:szCs w:val="28"/>
              </w:rPr>
              <w:t xml:space="preserve">Опыт решения аналогичных проблем в других субъектах Российской Федерации</w:t>
            </w:r>
            <w:r/>
          </w:p>
          <w:p>
            <w:pPr>
              <w:pStyle w:val="373"/>
              <w:jc w:val="both"/>
            </w:pPr>
            <w:r>
              <w:rPr>
                <w:sz w:val="28"/>
                <w:szCs w:val="28"/>
              </w:rPr>
              <w:t xml:space="preserve">Источники данных</w:t>
            </w:r>
            <w:r/>
            <w:r>
              <w:rPr>
                <w:sz w:val="28"/>
                <w:szCs w:val="28"/>
              </w:rPr>
              <w:t xml:space="preserve">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83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Нормативная правовая база Российской Федерации </w:t>
            </w:r>
            <w:r>
              <w:rPr>
                <w:sz w:val="28"/>
                <w:szCs w:val="28"/>
              </w:rPr>
              <w:t xml:space="preserve">и Пензенской области </w:t>
            </w:r>
            <w:r>
              <w:rPr>
                <w:sz w:val="28"/>
                <w:szCs w:val="28"/>
              </w:rPr>
              <w:t xml:space="preserve">предусматривает внесения соответствующих изменений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2.6. Альтернативные способы решения проблемы: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83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373"/>
        <w:jc w:val="center"/>
        <w:rPr>
          <w:b/>
          <w:sz w:val="28"/>
          <w:szCs w:val="28"/>
        </w:rPr>
        <w:outlineLvl w:val="2"/>
      </w:pPr>
      <w:r/>
      <w:bookmarkStart w:id="2" w:name="Par175"/>
      <w:r/>
      <w:bookmarkEnd w:id="2"/>
      <w:r>
        <w:rPr>
          <w:b/>
          <w:sz w:val="28"/>
          <w:szCs w:val="28"/>
        </w:rPr>
      </w:r>
      <w:r/>
    </w:p>
    <w:p>
      <w:pPr>
        <w:pStyle w:val="373"/>
        <w:jc w:val="center"/>
        <w:rPr>
          <w:b/>
          <w:sz w:val="28"/>
          <w:szCs w:val="28"/>
        </w:rPr>
        <w:outlineLvl w:val="2"/>
      </w:pPr>
      <w:r>
        <w:rPr>
          <w:b/>
          <w:sz w:val="28"/>
          <w:szCs w:val="28"/>
        </w:rPr>
        <w:t xml:space="preserve">3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 Цели предлагаемого правового регулирования и показатели</w:t>
      </w:r>
      <w:r/>
    </w:p>
    <w:p>
      <w:pPr>
        <w:pStyle w:val="373"/>
        <w:jc w:val="center"/>
        <w:outlineLvl w:val="2"/>
      </w:pPr>
      <w:r>
        <w:rPr>
          <w:b/>
          <w:sz w:val="28"/>
          <w:szCs w:val="28"/>
        </w:rPr>
        <w:t xml:space="preserve">их достижения</w:t>
      </w:r>
      <w:r/>
    </w:p>
    <w:tbl>
      <w:tblPr>
        <w:tblW w:w="15120" w:type="dxa"/>
        <w:jc w:val="center"/>
        <w:tblInd w:w="62" w:type="dxa"/>
        <w:tblLayout w:type="fixed"/>
        <w:tblCellMar>
          <w:left w:w="0" w:type="dxa"/>
          <w:top w:w="75" w:type="dxa"/>
          <w:right w:w="0" w:type="dxa"/>
          <w:bottom w:w="75" w:type="dxa"/>
        </w:tblCellMar>
        <w:tblLook w:val="04A0" w:firstRow="1" w:lastRow="0" w:firstColumn="1" w:lastColumn="0" w:noHBand="0" w:noVBand="1"/>
      </w:tblPr>
      <w:tblGrid>
        <w:gridCol w:w="5580"/>
        <w:gridCol w:w="4680"/>
        <w:gridCol w:w="4860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5580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.1. </w:t>
            </w:r>
            <w:r>
              <w:rPr>
                <w:sz w:val="28"/>
                <w:szCs w:val="28"/>
              </w:rPr>
              <w:t xml:space="preserve">Цели предлагаемого правового регулирования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.2.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Показатели достижения целей предлагаемого правового регулирования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860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3.3. </w:t>
            </w:r>
            <w:r>
              <w:rPr>
                <w:sz w:val="28"/>
                <w:szCs w:val="28"/>
              </w:rPr>
              <w:t xml:space="preserve">Сроки достижения целей предлагаемого правового регулирования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5580" w:type="dxa"/>
            <w:vAlign w:val="top"/>
            <w:textDirection w:val="lrTb"/>
            <w:noWrap w:val="false"/>
          </w:tcPr>
          <w:p>
            <w:pPr>
              <w:pStyle w:val="373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Осуществление регионального контроля с учетом особенностей предусмотренных 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pacing w:val="0"/>
                <w:position w:val="0"/>
                <w:sz w:val="28"/>
              </w:rPr>
              <w:t xml:space="preserve">постановлением Правительства Российской Федерации от 30.11.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pacing w:val="0"/>
                <w:position w:val="0"/>
                <w:sz w:val="28"/>
              </w:rPr>
              <w:t xml:space="preserve">2020 № 1969 «Об особенностях формирования ежегодных планов проведения плановых проверок юридических лиц и индивидуальных предпринимателей на 2021 год, проведения проверок в 2021 году и внесении изменений в пункт 7 Правил подготовки органами государственног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pacing w:val="0"/>
                <w:position w:val="0"/>
                <w:sz w:val="28"/>
              </w:rPr>
              <w:t xml:space="preserve">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</w:t>
            </w:r>
            <w:r/>
            <w:r>
              <w:rPr>
                <w:bCs/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Приведение в соответствие с Федеральным законодательством региональных нормативных правовых актов регулирующих осуществление региональных видов контроля путем принятия соответствующего постановления Правительства Пензенской области </w:t>
            </w:r>
            <w:r>
              <w:rPr>
                <w:sz w:val="28"/>
                <w:szCs w:val="28"/>
              </w:rPr>
              <w:t xml:space="preserve">«</w:t>
            </w:r>
            <w:r>
              <w:rPr>
                <w:bCs/>
                <w:sz w:val="28"/>
                <w:szCs w:val="28"/>
              </w:rPr>
              <w:t xml:space="preserve">О внесении изменений в отдельные постановления Правительства Пензенской области</w:t>
            </w:r>
            <w:r>
              <w:rPr>
                <w:bCs/>
                <w:sz w:val="28"/>
                <w:szCs w:val="28"/>
              </w:rPr>
              <w:t xml:space="preserve">»</w:t>
            </w:r>
            <w:r/>
            <w:r>
              <w:rPr>
                <w:sz w:val="28"/>
                <w:szCs w:val="28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860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373"/>
        <w:jc w:val="center"/>
      </w:pPr>
      <w:r/>
      <w:r/>
    </w:p>
    <w:p>
      <w:pPr>
        <w:pStyle w:val="373"/>
        <w:jc w:val="center"/>
        <w:rPr>
          <w:rFonts w:ascii="Times New Roman" w:hAnsi="Times New Roman" w:cs="Times New Roman" w:eastAsia="Times New Roman"/>
          <w:b/>
          <w:sz w:val="28"/>
        </w:rPr>
      </w:pPr>
      <w:r>
        <w:rPr>
          <w:rFonts w:ascii="Times New Roman" w:hAnsi="Times New Roman" w:cs="Times New Roman" w:eastAsia="Times New Roman"/>
          <w:b/>
          <w:sz w:val="28"/>
        </w:rPr>
        <w:t xml:space="preserve">4. Описание основных групп субъектов предпринимательской </w:t>
      </w:r>
      <w:r>
        <w:rPr>
          <w:rFonts w:ascii="Times New Roman" w:hAnsi="Times New Roman" w:cs="Times New Roman" w:eastAsia="Times New Roman"/>
          <w:b/>
          <w:sz w:val="28"/>
        </w:rPr>
      </w:r>
      <w:r>
        <w:rPr>
          <w:rFonts w:ascii="Times New Roman" w:hAnsi="Times New Roman" w:cs="Times New Roman" w:eastAsia="Times New Roman"/>
          <w:b/>
          <w:sz w:val="28"/>
        </w:rPr>
        <w:t xml:space="preserve">и инвестиционной деятельности, иных лиц, интересы которых</w:t>
      </w:r>
      <w:r>
        <w:rPr>
          <w:rFonts w:ascii="Times New Roman" w:hAnsi="Times New Roman" w:cs="Times New Roman" w:eastAsia="Times New Roman"/>
          <w:b/>
          <w:sz w:val="28"/>
        </w:rPr>
      </w:r>
    </w:p>
    <w:p>
      <w:pPr>
        <w:pStyle w:val="373"/>
        <w:jc w:val="center"/>
        <w:rPr>
          <w:rFonts w:ascii="Times New Roman" w:hAnsi="Times New Roman" w:cs="Times New Roman" w:eastAsia="Times New Roman"/>
          <w:b/>
          <w:sz w:val="28"/>
        </w:rPr>
      </w:pPr>
      <w:r>
        <w:rPr>
          <w:rFonts w:ascii="Times New Roman" w:hAnsi="Times New Roman" w:cs="Times New Roman" w:eastAsia="Times New Roman"/>
          <w:b/>
          <w:sz w:val="28"/>
        </w:rPr>
        <w:t xml:space="preserve">могут быть затронуты предполагаемым правовым регулированием</w:t>
      </w:r>
      <w:r>
        <w:rPr>
          <w:rFonts w:ascii="Times New Roman" w:hAnsi="Times New Roman" w:cs="Times New Roman" w:eastAsia="Times New Roman"/>
          <w:b/>
          <w:sz w:val="28"/>
        </w:rPr>
      </w:r>
      <w:bookmarkStart w:id="3" w:name="Par204"/>
      <w:r>
        <w:rPr>
          <w:rFonts w:ascii="Times New Roman" w:hAnsi="Times New Roman" w:cs="Times New Roman" w:eastAsia="Times New Roman"/>
          <w:b/>
          <w:sz w:val="28"/>
        </w:rPr>
      </w:r>
      <w:bookmarkEnd w:id="3"/>
      <w:r>
        <w:rPr>
          <w:rFonts w:ascii="Times New Roman" w:hAnsi="Times New Roman" w:cs="Times New Roman" w:eastAsia="Times New Roman"/>
          <w:b/>
          <w:sz w:val="28"/>
          <w:szCs w:val="28"/>
        </w:rPr>
      </w:r>
      <w:r>
        <w:rPr>
          <w:rFonts w:ascii="Times New Roman" w:hAnsi="Times New Roman" w:cs="Times New Roman" w:eastAsia="Times New Roman"/>
          <w:b/>
          <w:sz w:val="28"/>
        </w:rPr>
      </w:r>
    </w:p>
    <w:p>
      <w:pPr>
        <w:pStyle w:val="37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15120" w:type="dxa"/>
        <w:jc w:val="center"/>
        <w:tblInd w:w="62" w:type="dxa"/>
        <w:tblLayout w:type="fixed"/>
        <w:tblCellMar>
          <w:left w:w="0" w:type="dxa"/>
          <w:top w:w="75" w:type="dxa"/>
          <w:right w:w="0" w:type="dxa"/>
          <w:bottom w:w="75" w:type="dxa"/>
        </w:tblCellMar>
        <w:tblLook w:val="04A0" w:firstRow="1" w:lastRow="0" w:firstColumn="1" w:lastColumn="0" w:noHBand="0" w:noVBand="1"/>
      </w:tblPr>
      <w:tblGrid>
        <w:gridCol w:w="5580"/>
        <w:gridCol w:w="4680"/>
        <w:gridCol w:w="4860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5580" w:type="dxa"/>
            <w:vAlign w:val="top"/>
            <w:textDirection w:val="lrTb"/>
            <w:noWrap w:val="false"/>
          </w:tcPr>
          <w:p>
            <w:pPr>
              <w:pStyle w:val="373"/>
              <w:jc w:val="center"/>
            </w:pPr>
            <w:r>
              <w:rPr>
                <w:sz w:val="28"/>
                <w:szCs w:val="28"/>
              </w:rPr>
              <w:t xml:space="preserve">4.1. Группы потенциальных субъектов предлагаемого правового регулирования (</w:t>
            </w:r>
            <w:r>
              <w:rPr>
                <w:sz w:val="28"/>
                <w:szCs w:val="28"/>
              </w:rPr>
              <w:t xml:space="preserve">краткое описание их качественных характеристик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373"/>
              <w:jc w:val="center"/>
            </w:pPr>
            <w:r>
              <w:rPr>
                <w:sz w:val="28"/>
                <w:szCs w:val="28"/>
              </w:rPr>
              <w:t xml:space="preserve">4.2. </w:t>
            </w:r>
            <w:r>
              <w:rPr>
                <w:sz w:val="28"/>
                <w:szCs w:val="28"/>
              </w:rPr>
              <w:t xml:space="preserve">Количественная оценка</w:t>
            </w:r>
            <w:r>
              <w:rPr>
                <w:sz w:val="28"/>
                <w:szCs w:val="28"/>
              </w:rPr>
              <w:t xml:space="preserve"> участников группы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860" w:type="dxa"/>
            <w:vAlign w:val="top"/>
            <w:textDirection w:val="lrTb"/>
            <w:noWrap w:val="false"/>
          </w:tcPr>
          <w:p>
            <w:pPr>
              <w:pStyle w:val="373"/>
              <w:jc w:val="center"/>
            </w:pPr>
            <w:r>
              <w:rPr>
                <w:sz w:val="28"/>
                <w:szCs w:val="28"/>
              </w:rPr>
              <w:t xml:space="preserve">4.3. Источники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373"/>
              <w:jc w:val="center"/>
            </w:pPr>
            <w:r>
              <w:rPr>
                <w:sz w:val="28"/>
                <w:szCs w:val="28"/>
              </w:rPr>
              <w:t xml:space="preserve">данных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5580" w:type="dxa"/>
            <w:vAlign w:val="top"/>
            <w:textDirection w:val="lrTb"/>
            <w:noWrap w:val="false"/>
          </w:tcPr>
          <w:p>
            <w:pPr>
              <w:pStyle w:val="373"/>
            </w:pPr>
            <w:r>
              <w:rPr>
                <w:bCs/>
                <w:sz w:val="28"/>
                <w:szCs w:val="28"/>
              </w:rPr>
              <w:t xml:space="preserve">Юридические лица и индивидуальные предприниматели, осуществляющие розничную продажу алкогольной продукции, розничную продажу алкогольной продукции при оказании услуг общественного питания, розничную продажу спиртосодержащей продукции</w:t>
            </w:r>
            <w:r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</w:t>
            </w:r>
            <w:r>
              <w:rPr>
                <w:sz w:val="28"/>
                <w:szCs w:val="28"/>
              </w:rPr>
              <w:t xml:space="preserve">бо</w:t>
            </w:r>
            <w:r>
              <w:rPr>
                <w:sz w:val="28"/>
                <w:szCs w:val="28"/>
              </w:rPr>
              <w:t xml:space="preserve">р винограда для производства винодельческой продукции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373"/>
              <w:jc w:val="center"/>
            </w:pP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860" w:type="dxa"/>
            <w:vAlign w:val="top"/>
            <w:textDirection w:val="lrTb"/>
            <w:noWrap w:val="false"/>
          </w:tcPr>
          <w:p>
            <w:pPr>
              <w:pStyle w:val="373"/>
              <w:jc w:val="center"/>
            </w:pP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37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37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/>
      <w:r>
        <w:rPr>
          <w:b/>
          <w:sz w:val="28"/>
          <w:szCs w:val="28"/>
        </w:rPr>
        <w:t xml:space="preserve"> Изменение функций (полномочий, обязанностей, прав) </w:t>
      </w:r>
      <w:r/>
      <w:r>
        <w:rPr>
          <w:b/>
          <w:sz w:val="28"/>
          <w:szCs w:val="28"/>
        </w:rPr>
        <w:t xml:space="preserve">исполнительных органов государственной власти (органов </w:t>
      </w:r>
      <w:r/>
      <w:r>
        <w:rPr>
          <w:b/>
          <w:sz w:val="28"/>
          <w:szCs w:val="28"/>
        </w:rPr>
        <w:t xml:space="preserve">местного самоуправления) Пензенской области, а также порядка </w:t>
      </w:r>
      <w:r/>
      <w:r>
        <w:rPr>
          <w:b/>
          <w:sz w:val="28"/>
          <w:szCs w:val="28"/>
        </w:rPr>
        <w:t xml:space="preserve">их реализации в связи с введением предлагаемого правового </w:t>
      </w:r>
      <w:r/>
      <w:r>
        <w:rPr>
          <w:b/>
          <w:sz w:val="28"/>
          <w:szCs w:val="28"/>
        </w:rPr>
        <w:t xml:space="preserve">регулирования</w:t>
      </w:r>
      <w:r/>
    </w:p>
    <w:p>
      <w:pPr>
        <w:pStyle w:val="373"/>
        <w:rPr>
          <w:sz w:val="14"/>
          <w:szCs w:val="28"/>
        </w:rPr>
      </w:pPr>
      <w:r>
        <w:rPr>
          <w:sz w:val="14"/>
          <w:szCs w:val="28"/>
        </w:rPr>
      </w:r>
      <w:r/>
    </w:p>
    <w:tbl>
      <w:tblPr>
        <w:tblW w:w="15276" w:type="dxa"/>
        <w:jc w:val="center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00"/>
        <w:gridCol w:w="3240"/>
        <w:gridCol w:w="3141"/>
        <w:gridCol w:w="4395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spacing w:lineRule="auto" w:line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5.1. Наименование функции (полномочия, обязанности или права)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373"/>
              <w:ind w:hanging="62"/>
              <w:jc w:val="center"/>
              <w:spacing w:lineRule="auto" w:line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5.2. Характеристика функции </w:t>
            </w:r>
            <w:r/>
          </w:p>
          <w:p>
            <w:pPr>
              <w:pStyle w:val="373"/>
              <w:jc w:val="center"/>
              <w:spacing w:lineRule="auto" w:line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</w:t>
            </w:r>
            <w:r>
              <w:rPr>
                <w:i/>
              </w:rPr>
              <w:t xml:space="preserve">новая/изменяемая/ отменяемая</w:t>
            </w:r>
            <w:r>
              <w:rPr>
                <w:sz w:val="28"/>
                <w:szCs w:val="28"/>
              </w:rPr>
              <w:t xml:space="preserve">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41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spacing w:lineRule="auto" w:line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5.3. Предполагаемый порядок реализации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spacing w:lineRule="auto" w:line="216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5.4. Оценка изменения численности</w:t>
            </w:r>
            <w:r>
              <w:rPr>
                <w:sz w:val="28"/>
                <w:szCs w:val="28"/>
              </w:rPr>
              <w:t xml:space="preserve"> сотрудников и/или потребностей </w:t>
            </w:r>
            <w:r/>
          </w:p>
          <w:p>
            <w:pPr>
              <w:pStyle w:val="373"/>
              <w:jc w:val="center"/>
              <w:spacing w:lineRule="auto" w:line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других ресурсах</w:t>
            </w:r>
            <w:r/>
          </w:p>
        </w:tc>
      </w:tr>
      <w:tr>
        <w:trPr/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76" w:type="dxa"/>
            <w:vAlign w:val="top"/>
            <w:textDirection w:val="lrTb"/>
            <w:noWrap w:val="false"/>
          </w:tcPr>
          <w:p>
            <w:pPr>
              <w:pStyle w:val="373"/>
              <w:spacing w:lineRule="auto" w:line="21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Наименование органа 1: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373"/>
              <w:spacing w:lineRule="auto" w:line="21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Функция (полномочие, обязанность или право) 1.1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spacing w:lineRule="auto" w:line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41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spacing w:lineRule="auto" w:line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spacing w:lineRule="auto" w:line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76" w:type="dxa"/>
            <w:vAlign w:val="top"/>
            <w:textDirection w:val="lrTb"/>
            <w:noWrap w:val="false"/>
          </w:tcPr>
          <w:p>
            <w:pPr>
              <w:pStyle w:val="373"/>
              <w:spacing w:lineRule="auto" w:line="216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Наименование  органа 2: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spacing w:lineRule="auto" w:line="216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Функция (полномочие, обязанность или право) 2.1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spacing w:lineRule="auto" w:line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41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spacing w:lineRule="auto" w:line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spacing w:lineRule="auto" w:line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373"/>
        <w:rPr>
          <w:sz w:val="28"/>
          <w:szCs w:val="28"/>
        </w:rPr>
        <w:outlineLvl w:val="2"/>
      </w:pPr>
      <w:r/>
      <w:bookmarkStart w:id="4" w:name="Par219"/>
      <w:r/>
      <w:bookmarkEnd w:id="4"/>
      <w:r>
        <w:rPr>
          <w:sz w:val="28"/>
          <w:szCs w:val="28"/>
        </w:rPr>
      </w:r>
      <w:r/>
    </w:p>
    <w:p>
      <w:pPr>
        <w:pStyle w:val="373"/>
        <w:jc w:val="center"/>
        <w:rPr>
          <w:b/>
          <w:sz w:val="28"/>
          <w:szCs w:val="28"/>
        </w:rPr>
        <w:outlineLvl w:val="2"/>
      </w:pPr>
      <w:r>
        <w:rPr>
          <w:b/>
          <w:sz w:val="28"/>
          <w:szCs w:val="28"/>
        </w:rPr>
        <w:t xml:space="preserve">6. Оценка дополнительных расходов (доходов) </w:t>
      </w:r>
      <w:r>
        <w:rPr>
          <w:b/>
          <w:sz w:val="28"/>
          <w:szCs w:val="28"/>
        </w:rPr>
        <w:t xml:space="preserve">консолидированного бюджета</w:t>
      </w:r>
      <w:r>
        <w:rPr>
          <w:b/>
          <w:sz w:val="28"/>
          <w:szCs w:val="28"/>
        </w:rPr>
        <w:t xml:space="preserve"> Пензенской области, </w:t>
      </w:r>
      <w:r/>
    </w:p>
    <w:p>
      <w:pPr>
        <w:pStyle w:val="373"/>
        <w:jc w:val="center"/>
        <w:rPr>
          <w:b/>
          <w:sz w:val="28"/>
          <w:szCs w:val="28"/>
        </w:rPr>
        <w:outlineLvl w:val="2"/>
      </w:pPr>
      <w:r>
        <w:rPr>
          <w:b/>
          <w:sz w:val="28"/>
          <w:szCs w:val="28"/>
        </w:rPr>
        <w:t xml:space="preserve">связанных с введением предлагаемого правового регулирования</w:t>
      </w:r>
      <w:r/>
    </w:p>
    <w:p>
      <w:pPr>
        <w:pStyle w:val="373"/>
        <w:jc w:val="center"/>
        <w:rPr>
          <w:sz w:val="10"/>
          <w:szCs w:val="28"/>
        </w:rPr>
      </w:pPr>
      <w:r>
        <w:rPr>
          <w:sz w:val="10"/>
          <w:szCs w:val="28"/>
        </w:rPr>
      </w:r>
      <w:r/>
    </w:p>
    <w:tbl>
      <w:tblPr>
        <w:tblW w:w="14940" w:type="dxa"/>
        <w:jc w:val="center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237"/>
        <w:gridCol w:w="4962"/>
        <w:gridCol w:w="3741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6.1. Наименование функции (полномочия, обязанности или права)</w:t>
            </w:r>
            <w:r/>
          </w:p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 соответствии с </w:t>
            </w:r>
            <w:r>
              <w:fldChar w:fldCharType="begin"/>
            </w:r>
            <w:r>
              <w:instrText xml:space="preserve">HYPERLINK \l "Par209"</w:instrText>
            </w:r>
            <w:r>
              <w:fldChar w:fldCharType="separate"/>
            </w:r>
            <w:r>
              <w:rPr>
                <w:sz w:val="28"/>
                <w:szCs w:val="28"/>
              </w:rPr>
              <w:t xml:space="preserve">пунктом 5.1</w:t>
            </w:r>
            <w:r>
              <w:fldChar w:fldCharType="end"/>
            </w:r>
            <w:r>
              <w:rPr>
                <w:sz w:val="28"/>
                <w:szCs w:val="28"/>
              </w:rPr>
              <w:t xml:space="preserve">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Пензенской области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41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6.3. Количественная оценка расходов или возможных поступлений, тыс. рублей</w:t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940" w:type="dxa"/>
            <w:vAlign w:val="top"/>
            <w:textDirection w:val="lrTb"/>
            <w:noWrap w:val="false"/>
          </w:tcPr>
          <w:p>
            <w:pPr>
              <w:pStyle w:val="373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Наименование  органа 1: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373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Функция (полномочие, обязанность или право) 1.1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i/>
              </w:rPr>
            </w:pPr>
            <w:r>
              <w:rPr>
                <w:i/>
              </w:rPr>
              <w:t xml:space="preserve">-</w:t>
            </w:r>
            <w:r>
              <w:rPr>
                <w:i/>
              </w:rPr>
              <w:t xml:space="preserve">–</w:t>
            </w:r>
            <w:r>
              <w:rPr>
                <w:i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41" w:type="dxa"/>
            <w:vAlign w:val="top"/>
            <w:textDirection w:val="lrTb"/>
            <w:noWrap w:val="false"/>
          </w:tcPr>
          <w:p>
            <w:pPr>
              <w:pStyle w:val="373"/>
              <w:jc w:val="center"/>
            </w:pPr>
            <w:r>
              <w:t xml:space="preserve">–</w:t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940" w:type="dxa"/>
            <w:vAlign w:val="top"/>
            <w:textDirection w:val="lrTb"/>
            <w:noWrap w:val="false"/>
          </w:tcPr>
          <w:p>
            <w:pPr>
              <w:pStyle w:val="373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Наименование  органа 2: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Функция (полномочие, обязанность или право) 2.1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i/>
              </w:rPr>
            </w:pPr>
            <w:r>
              <w:rPr>
                <w:i/>
              </w:rPr>
              <w:t xml:space="preserve">–</w:t>
            </w:r>
            <w:r>
              <w:rPr>
                <w:i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41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940" w:type="dxa"/>
            <w:vAlign w:val="top"/>
            <w:textDirection w:val="lrTb"/>
            <w:noWrap w:val="false"/>
          </w:tcPr>
          <w:p>
            <w:pPr>
              <w:pStyle w:val="373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Итого: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3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Другие сведения о дополнительных расходах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доходах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консолидированного </w:t>
      </w:r>
      <w:r>
        <w:rPr>
          <w:sz w:val="28"/>
          <w:szCs w:val="28"/>
        </w:rPr>
        <w:t xml:space="preserve">бюджета</w:t>
      </w:r>
      <w:r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, связанных с введением предлагаемого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правового регулирования</w:t>
      </w:r>
      <w:r>
        <w:rPr>
          <w:sz w:val="28"/>
          <w:szCs w:val="28"/>
        </w:rPr>
        <w:t xml:space="preserve">:</w:t>
      </w:r>
      <w:r/>
    </w:p>
    <w:tbl>
      <w:tblPr>
        <w:tblW w:w="15062" w:type="dxa"/>
        <w:jc w:val="center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15062"/>
      </w:tblGrid>
      <w:tr>
        <w:trPr>
          <w:trHeight w:val="282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15062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3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Источники данных:</w:t>
      </w:r>
      <w:r/>
    </w:p>
    <w:tbl>
      <w:tblPr>
        <w:tblW w:w="15062" w:type="dxa"/>
        <w:jc w:val="center"/>
        <w:tblInd w:w="0" w:type="dxa"/>
        <w:tbl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15062"/>
      </w:tblGrid>
      <w:tr>
        <w:trPr>
          <w:trHeight w:val="357"/>
        </w:trPr>
        <w:tc>
          <w:tcPr>
            <w:tcBorders>
              <w:bottom w:val="single" w:color="000000" w:sz="4" w:space="0"/>
            </w:tcBorders>
            <w:tcW w:w="15062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373"/>
        <w:jc w:val="center"/>
        <w:rPr>
          <w:b/>
          <w:sz w:val="28"/>
          <w:szCs w:val="28"/>
        </w:rPr>
      </w:pPr>
      <w:r/>
      <w:bookmarkStart w:id="5" w:name="Par237"/>
      <w:r/>
      <w:bookmarkEnd w:id="5"/>
      <w:r>
        <w:rPr>
          <w:b/>
          <w:sz w:val="28"/>
          <w:szCs w:val="28"/>
        </w:rPr>
      </w:r>
      <w:r/>
    </w:p>
    <w:p>
      <w:pPr>
        <w:pStyle w:val="373"/>
        <w:jc w:val="center"/>
      </w:pPr>
      <w:r>
        <w:rPr>
          <w:b/>
          <w:sz w:val="28"/>
          <w:szCs w:val="28"/>
        </w:rPr>
        <w:t xml:space="preserve">7. Новые преимущества, обязанности или ограничения</w:t>
      </w:r>
      <w:r/>
    </w:p>
    <w:p>
      <w:pPr>
        <w:pStyle w:val="373"/>
        <w:jc w:val="center"/>
      </w:pPr>
      <w:r>
        <w:rPr>
          <w:b/>
          <w:sz w:val="28"/>
          <w:szCs w:val="28"/>
        </w:rPr>
        <w:t xml:space="preserve">для субъектов предпринимательской и инвестиционной</w:t>
      </w:r>
      <w:r/>
    </w:p>
    <w:p>
      <w:pPr>
        <w:pStyle w:val="373"/>
        <w:jc w:val="center"/>
      </w:pPr>
      <w:r>
        <w:rPr>
          <w:b/>
          <w:sz w:val="28"/>
          <w:szCs w:val="28"/>
        </w:rPr>
        <w:t xml:space="preserve">деятельности либо изменение содержания существующих</w:t>
      </w:r>
      <w:r/>
    </w:p>
    <w:p>
      <w:pPr>
        <w:pStyle w:val="373"/>
        <w:jc w:val="center"/>
      </w:pPr>
      <w:r>
        <w:rPr>
          <w:b/>
          <w:sz w:val="28"/>
          <w:szCs w:val="28"/>
        </w:rPr>
        <w:t xml:space="preserve">обязанностей и ограничений, оценка расходов субъектов</w:t>
      </w:r>
      <w:r/>
    </w:p>
    <w:p>
      <w:pPr>
        <w:pStyle w:val="373"/>
        <w:jc w:val="center"/>
      </w:pPr>
      <w:r>
        <w:rPr>
          <w:b/>
          <w:sz w:val="28"/>
          <w:szCs w:val="28"/>
        </w:rPr>
        <w:t xml:space="preserve">предпринимательской и инвестиционной деятельности, связанных</w:t>
      </w:r>
      <w:r/>
    </w:p>
    <w:p>
      <w:pPr>
        <w:pStyle w:val="373"/>
        <w:jc w:val="center"/>
      </w:pPr>
      <w:r>
        <w:rPr>
          <w:b/>
          <w:sz w:val="28"/>
          <w:szCs w:val="28"/>
        </w:rPr>
        <w:t xml:space="preserve">с необходимостью соблюдения установленных обязанностей или</w:t>
      </w:r>
      <w:r/>
    </w:p>
    <w:p>
      <w:pPr>
        <w:pStyle w:val="373"/>
        <w:jc w:val="center"/>
      </w:pPr>
      <w:r>
        <w:rPr>
          <w:b/>
          <w:sz w:val="28"/>
          <w:szCs w:val="28"/>
        </w:rPr>
        <w:t xml:space="preserve">ограничений либо с изменением содержания таких обязанностей</w:t>
      </w:r>
      <w:r/>
    </w:p>
    <w:p>
      <w:pPr>
        <w:pStyle w:val="373"/>
        <w:jc w:val="center"/>
      </w:pPr>
      <w:r>
        <w:rPr>
          <w:b/>
          <w:sz w:val="28"/>
          <w:szCs w:val="28"/>
        </w:rPr>
        <w:t xml:space="preserve">или ограничений, а также возможные издержки и выгоды</w:t>
      </w:r>
      <w:r/>
    </w:p>
    <w:p>
      <w:pPr>
        <w:pStyle w:val="373"/>
        <w:jc w:val="center"/>
      </w:pPr>
      <w:r>
        <w:rPr>
          <w:b/>
          <w:sz w:val="28"/>
          <w:szCs w:val="28"/>
        </w:rPr>
        <w:t xml:space="preserve">для субъектов предпринимательской и инвестиционной</w:t>
      </w:r>
      <w:r/>
    </w:p>
    <w:p>
      <w:pPr>
        <w:pStyle w:val="373"/>
        <w:jc w:val="center"/>
      </w:pPr>
      <w:r>
        <w:rPr>
          <w:b/>
          <w:sz w:val="28"/>
          <w:szCs w:val="28"/>
        </w:rPr>
        <w:t xml:space="preserve">деятельности от предполагаемого правового регулирования</w:t>
      </w:r>
      <w:r/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/>
    </w:p>
    <w:p>
      <w:pPr>
        <w:pStyle w:val="373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14940" w:type="dxa"/>
        <w:jc w:val="center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780"/>
        <w:gridCol w:w="4867"/>
        <w:gridCol w:w="4111"/>
        <w:gridCol w:w="2182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80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7.1. Группы потенциальных адресатов предлагаемого правового регулирования (в соответствии с </w:t>
            </w:r>
            <w:r>
              <w:fldChar w:fldCharType="begin"/>
            </w:r>
            <w:r>
              <w:instrText xml:space="preserve">HYPERLINK \l "Par191"</w:instrText>
            </w:r>
            <w:r>
              <w:fldChar w:fldCharType="separate"/>
            </w:r>
            <w:r>
              <w:rPr>
                <w:sz w:val="28"/>
                <w:szCs w:val="28"/>
              </w:rPr>
              <w:t xml:space="preserve">п. 4.1</w:t>
            </w:r>
            <w:r>
              <w:fldChar w:fldCharType="end"/>
            </w:r>
            <w:r>
              <w:rPr>
                <w:sz w:val="28"/>
                <w:szCs w:val="28"/>
              </w:rPr>
              <w:t xml:space="preserve"> Сводного отчета)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67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7.2. Новые обязанности</w:t>
            </w:r>
            <w:r>
              <w:rPr>
                <w:sz w:val="28"/>
                <w:szCs w:val="28"/>
              </w:rPr>
              <w:t xml:space="preserve">, преимущества</w:t>
            </w:r>
            <w:r>
              <w:rPr>
                <w:sz w:val="28"/>
                <w:szCs w:val="28"/>
              </w:rPr>
              <w:t xml:space="preserve"> и ограничения, </w:t>
            </w:r>
            <w:r>
              <w:rPr>
                <w:spacing w:val="-8"/>
                <w:sz w:val="28"/>
                <w:szCs w:val="28"/>
              </w:rPr>
              <w:t xml:space="preserve">изменения существующих обязанностей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8"/>
                <w:sz w:val="28"/>
                <w:szCs w:val="28"/>
              </w:rPr>
              <w:t xml:space="preserve">и ограничений, вводимые предлагаемым</w:t>
            </w:r>
            <w:r>
              <w:rPr>
                <w:sz w:val="28"/>
                <w:szCs w:val="28"/>
              </w:rPr>
              <w:t xml:space="preserve"> правовым регулиро-ванием (с указанием соответст-вующих положений проекта акта)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7.3. Описание расходов и возможных доходов, связанных с введением предлагаемого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182" w:type="dxa"/>
            <w:vAlign w:val="top"/>
            <w:textDirection w:val="lrTb"/>
            <w:noWrap w:val="false"/>
          </w:tcPr>
          <w:p>
            <w:pPr>
              <w:pStyle w:val="373"/>
              <w:ind w:lef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7.4. Количест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-венная оценка, </w:t>
            </w:r>
            <w:r/>
          </w:p>
          <w:p>
            <w:pPr>
              <w:pStyle w:val="373"/>
              <w:ind w:lef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тыс. рублей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80" w:type="dxa"/>
            <w:vAlign w:val="top"/>
            <w:textDirection w:val="lrTb"/>
            <w:noWrap w:val="false"/>
          </w:tcPr>
          <w:p>
            <w:pPr>
              <w:pStyle w:val="373"/>
              <w:rPr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Юридические лица и индивидуальные предприниматели, осуществляющие розничную продажу алкогольной продукции, розничную продажу алкогольной продукции при оказании услуг общественного питания, розничную продажу спиртосодержащей продукции</w:t>
            </w:r>
            <w:r>
              <w:rPr>
                <w:bCs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с</w:t>
            </w:r>
            <w:r>
              <w:rPr>
                <w:sz w:val="28"/>
                <w:szCs w:val="28"/>
              </w:rPr>
              <w:t xml:space="preserve">бо</w:t>
            </w:r>
            <w:r>
              <w:rPr>
                <w:sz w:val="28"/>
                <w:szCs w:val="28"/>
              </w:rPr>
              <w:t xml:space="preserve">р винограда для производства винодельческой продукции</w:t>
            </w:r>
            <w:r>
              <w:rPr>
                <w:i/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67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182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373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Издержки и выгоды адресатов предлагаемого правового регулирования, не поддающиеся количественной оценке:</w:t>
      </w:r>
      <w:r/>
    </w:p>
    <w:tbl>
      <w:tblPr>
        <w:tblW w:w="15062" w:type="dxa"/>
        <w:jc w:val="center"/>
        <w:tblInd w:w="0" w:type="dxa"/>
        <w:tbl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15062"/>
      </w:tblGrid>
      <w:tr>
        <w:trPr>
          <w:trHeight w:val="373"/>
        </w:trPr>
        <w:tc>
          <w:tcPr>
            <w:tcBorders>
              <w:bottom w:val="single" w:color="000000" w:sz="4" w:space="0"/>
            </w:tcBorders>
            <w:tcW w:w="15062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Положительный эффект ожидается в связи с упорядочением административных процедур (действий), порядка их выполнения, оснований и сроков проведения проверок, </w:t>
            </w:r>
            <w:r>
              <w:rPr>
                <w:sz w:val="28"/>
                <w:szCs w:val="28"/>
              </w:rPr>
              <w:t xml:space="preserve">закреплением ответственности должностных лиц за нарушения </w:t>
            </w:r>
            <w:r>
              <w:rPr>
                <w:sz w:val="28"/>
                <w:szCs w:val="28"/>
              </w:rPr>
              <w:t xml:space="preserve">в ходе исполнения государственной функции</w:t>
            </w:r>
            <w:r>
              <w:rPr>
                <w:sz w:val="28"/>
                <w:szCs w:val="28"/>
              </w:rPr>
              <w:t xml:space="preserve">, а также прав проверяемых лиц.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373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7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</w:t>
      </w:r>
      <w:r>
        <w:rPr>
          <w:b/>
          <w:sz w:val="28"/>
          <w:szCs w:val="28"/>
        </w:rPr>
        <w:t xml:space="preserve">. Оценка рисков неблагоприятных последствий применения предполагаемого регулирования</w:t>
      </w:r>
      <w:r/>
    </w:p>
    <w:p>
      <w:pPr>
        <w:pStyle w:val="373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14940" w:type="dxa"/>
        <w:jc w:val="center"/>
        <w:tblInd w:w="62" w:type="dxa"/>
        <w:tblLayout w:type="fixed"/>
        <w:tblCellMar>
          <w:left w:w="0" w:type="dxa"/>
          <w:top w:w="75" w:type="dxa"/>
          <w:right w:w="0" w:type="dxa"/>
          <w:bottom w:w="75" w:type="dxa"/>
        </w:tblCellMar>
        <w:tblLook w:val="04A0" w:firstRow="1" w:lastRow="0" w:firstColumn="1" w:lastColumn="0" w:noHBand="0" w:noVBand="1"/>
      </w:tblPr>
      <w:tblGrid>
        <w:gridCol w:w="3420"/>
        <w:gridCol w:w="5220"/>
        <w:gridCol w:w="3960"/>
        <w:gridCol w:w="2340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420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  <w:t xml:space="preserve">.1. Виды рисков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5220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  <w:t xml:space="preserve">.2. Оценка вероятности наступления неблагоприятных последствий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0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  <w:t xml:space="preserve">.3. Методы контроля рисков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8.4. Степень  контроля рисков</w:t>
            </w:r>
            <w:r/>
          </w:p>
          <w:p>
            <w:pPr>
              <w:pStyle w:val="373"/>
              <w:jc w:val="center"/>
              <w:rPr>
                <w:i/>
              </w:rPr>
            </w:pPr>
            <w:r>
              <w:rPr>
                <w:i/>
              </w:rPr>
              <w:t xml:space="preserve">(полный/ частичный/ отсутствует)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420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Правовое регулирование </w:t>
            </w:r>
            <w:r>
              <w:rPr>
                <w:sz w:val="28"/>
                <w:szCs w:val="28"/>
              </w:rPr>
              <w:t xml:space="preserve">не несет рисков</w:t>
            </w:r>
            <w:r>
              <w:rPr>
                <w:i/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5220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0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3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37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37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Сравнение возможных вариантов решения проблемы</w:t>
      </w:r>
      <w:r/>
    </w:p>
    <w:tbl>
      <w:tblPr>
        <w:tblW w:w="15048" w:type="dxa"/>
        <w:jc w:val="center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508"/>
        <w:gridCol w:w="3420"/>
        <w:gridCol w:w="3240"/>
        <w:gridCol w:w="2880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08" w:type="dxa"/>
            <w:vAlign w:val="top"/>
            <w:textDirection w:val="lrTb"/>
            <w:noWrap w:val="false"/>
          </w:tcPr>
          <w:p>
            <w:pPr>
              <w:pStyle w:val="37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0" w:type="dxa"/>
            <w:vAlign w:val="top"/>
            <w:textDirection w:val="lrTb"/>
            <w:noWrap w:val="false"/>
          </w:tcPr>
          <w:p>
            <w:pPr>
              <w:pStyle w:val="37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37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37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3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08" w:type="dxa"/>
            <w:vAlign w:val="top"/>
            <w:textDirection w:val="lrTb"/>
            <w:noWrap w:val="false"/>
          </w:tcPr>
          <w:p>
            <w:pPr>
              <w:pStyle w:val="377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9.1. Содержание варианта решения проблемы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0" w:type="dxa"/>
            <w:vAlign w:val="top"/>
            <w:textDirection w:val="lrTb"/>
            <w:noWrap w:val="false"/>
          </w:tcPr>
          <w:p>
            <w:pPr>
              <w:pStyle w:val="37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373"/>
              <w:jc w:val="center"/>
            </w:pPr>
            <w:r>
              <w:rPr>
                <w:sz w:val="28"/>
                <w:szCs w:val="28"/>
              </w:rPr>
              <w:t xml:space="preserve">–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373"/>
              <w:jc w:val="center"/>
            </w:pPr>
            <w:r>
              <w:rPr>
                <w:sz w:val="28"/>
                <w:szCs w:val="28"/>
              </w:rPr>
              <w:t xml:space="preserve">–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08" w:type="dxa"/>
            <w:vAlign w:val="top"/>
            <w:textDirection w:val="lrTb"/>
            <w:noWrap w:val="false"/>
          </w:tcPr>
          <w:p>
            <w:pPr>
              <w:pStyle w:val="377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9.2. Качественная характеристика и оценка численности потенциальных адресатов  предполагаемого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0" w:type="dxa"/>
            <w:vAlign w:val="top"/>
            <w:textDirection w:val="lrTb"/>
            <w:noWrap w:val="false"/>
          </w:tcPr>
          <w:p>
            <w:pPr>
              <w:pStyle w:val="37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373"/>
              <w:jc w:val="center"/>
            </w:pPr>
            <w:r>
              <w:rPr>
                <w:sz w:val="28"/>
                <w:szCs w:val="28"/>
              </w:rPr>
              <w:t xml:space="preserve">–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373"/>
              <w:jc w:val="center"/>
            </w:pPr>
            <w:r>
              <w:rPr>
                <w:sz w:val="28"/>
                <w:szCs w:val="28"/>
              </w:rPr>
              <w:t xml:space="preserve">–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08" w:type="dxa"/>
            <w:vAlign w:val="top"/>
            <w:textDirection w:val="lrTb"/>
            <w:noWrap w:val="false"/>
          </w:tcPr>
          <w:p>
            <w:pPr>
              <w:pStyle w:val="377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0" w:type="dxa"/>
            <w:vAlign w:val="top"/>
            <w:textDirection w:val="lrTb"/>
            <w:noWrap w:val="false"/>
          </w:tcPr>
          <w:p>
            <w:pPr>
              <w:pStyle w:val="37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373"/>
              <w:jc w:val="center"/>
            </w:pPr>
            <w:r>
              <w:rPr>
                <w:sz w:val="28"/>
                <w:szCs w:val="28"/>
              </w:rPr>
              <w:t xml:space="preserve">–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373"/>
              <w:jc w:val="center"/>
            </w:pPr>
            <w:r>
              <w:rPr>
                <w:sz w:val="28"/>
                <w:szCs w:val="28"/>
              </w:rPr>
              <w:t xml:space="preserve">–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08" w:type="dxa"/>
            <w:vAlign w:val="top"/>
            <w:textDirection w:val="lrTb"/>
            <w:noWrap w:val="false"/>
          </w:tcPr>
          <w:p>
            <w:pPr>
              <w:pStyle w:val="377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9.4. . Оценка расходов (доходов) консолидированного  бюджета Пензенской области, связанных с введением предполагаемого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0" w:type="dxa"/>
            <w:vAlign w:val="top"/>
            <w:textDirection w:val="lrTb"/>
            <w:noWrap w:val="false"/>
          </w:tcPr>
          <w:p>
            <w:pPr>
              <w:pStyle w:val="37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373"/>
              <w:jc w:val="center"/>
            </w:pPr>
            <w:r>
              <w:rPr>
                <w:sz w:val="28"/>
                <w:szCs w:val="28"/>
              </w:rPr>
              <w:t xml:space="preserve">–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373"/>
              <w:jc w:val="center"/>
            </w:pPr>
            <w:r>
              <w:rPr>
                <w:sz w:val="28"/>
                <w:szCs w:val="28"/>
              </w:rPr>
              <w:t xml:space="preserve">–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08" w:type="dxa"/>
            <w:vAlign w:val="top"/>
            <w:textDirection w:val="lrTb"/>
            <w:noWrap w:val="false"/>
          </w:tcPr>
          <w:p>
            <w:pPr>
              <w:pStyle w:val="377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9.5. Оценка рисков неблагоприятных последствий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0" w:type="dxa"/>
            <w:vAlign w:val="top"/>
            <w:textDirection w:val="lrTb"/>
            <w:noWrap w:val="false"/>
          </w:tcPr>
          <w:p>
            <w:pPr>
              <w:pStyle w:val="37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373"/>
              <w:jc w:val="center"/>
            </w:pPr>
            <w:r>
              <w:rPr>
                <w:sz w:val="28"/>
                <w:szCs w:val="28"/>
              </w:rPr>
              <w:t xml:space="preserve">–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80" w:type="dxa"/>
            <w:vAlign w:val="top"/>
            <w:textDirection w:val="lrTb"/>
            <w:noWrap w:val="false"/>
          </w:tcPr>
          <w:p>
            <w:pPr>
              <w:pStyle w:val="373"/>
              <w:jc w:val="center"/>
            </w:pPr>
            <w:r>
              <w:rPr>
                <w:sz w:val="28"/>
                <w:szCs w:val="28"/>
              </w:rPr>
              <w:t xml:space="preserve">–</w:t>
            </w:r>
            <w:r/>
          </w:p>
        </w:tc>
      </w:tr>
    </w:tbl>
    <w:p>
      <w:pPr>
        <w:pStyle w:val="3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9.6. Обоснование выбора предпочтительного варианта решения выявленной проблемы:</w:t>
      </w:r>
      <w:r/>
    </w:p>
    <w:tbl>
      <w:tblPr>
        <w:tblW w:w="15062" w:type="dxa"/>
        <w:tblInd w:w="0" w:type="dxa"/>
        <w:tbl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15062"/>
      </w:tblGrid>
      <w:tr>
        <w:trPr>
          <w:trHeight w:val="372"/>
        </w:trPr>
        <w:tc>
          <w:tcPr>
            <w:tcBorders>
              <w:bottom w:val="single" w:color="000000" w:sz="4" w:space="0"/>
            </w:tcBorders>
            <w:tcW w:w="15062" w:type="dxa"/>
            <w:vAlign w:val="top"/>
            <w:textDirection w:val="lrTb"/>
            <w:noWrap w:val="false"/>
          </w:tcPr>
          <w:p>
            <w:pPr>
              <w:pStyle w:val="37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</w:tc>
      </w:tr>
    </w:tbl>
    <w:p>
      <w:pPr>
        <w:pStyle w:val="373"/>
        <w:jc w:val="center"/>
        <w:rPr>
          <w:b/>
          <w:sz w:val="28"/>
          <w:szCs w:val="28"/>
        </w:rPr>
        <w:outlineLvl w:val="2"/>
      </w:pPr>
      <w:r>
        <w:rPr>
          <w:b/>
          <w:sz w:val="28"/>
          <w:szCs w:val="28"/>
        </w:rPr>
      </w:r>
      <w:r/>
    </w:p>
    <w:p>
      <w:pPr>
        <w:pStyle w:val="373"/>
        <w:jc w:val="center"/>
        <w:rPr>
          <w:b/>
          <w:sz w:val="28"/>
          <w:szCs w:val="28"/>
        </w:rPr>
        <w:outlineLvl w:val="2"/>
      </w:pPr>
      <w:r>
        <w:rPr>
          <w:b/>
          <w:sz w:val="28"/>
          <w:szCs w:val="28"/>
        </w:rPr>
        <w:t xml:space="preserve">10</w:t>
      </w:r>
      <w:r>
        <w:rPr>
          <w:b/>
          <w:sz w:val="28"/>
          <w:szCs w:val="28"/>
        </w:rPr>
        <w:t xml:space="preserve">. Результаты публичных консультаций по проекту нормативного правового акта</w:t>
      </w:r>
      <w:r/>
    </w:p>
    <w:tbl>
      <w:tblPr>
        <w:tblW w:w="15228" w:type="dxa"/>
        <w:jc w:val="center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688"/>
        <w:gridCol w:w="9540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8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10.1.Срок,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540" w:type="dxa"/>
            <w:vAlign w:val="top"/>
            <w:textDirection w:val="lrTb"/>
            <w:noWrap w:val="false"/>
          </w:tcPr>
          <w:p>
            <w:pPr>
              <w:pStyle w:val="373"/>
              <w:jc w:val="both"/>
            </w:pPr>
            <w:r>
              <w:rPr>
                <w:sz w:val="28"/>
                <w:szCs w:val="28"/>
              </w:rPr>
              <w:t xml:space="preserve">Начало: __________________________</w:t>
            </w:r>
            <w:r/>
          </w:p>
          <w:p>
            <w:pPr>
              <w:pStyle w:val="373"/>
              <w:jc w:val="both"/>
            </w:pPr>
            <w:r>
              <w:rPr>
                <w:sz w:val="28"/>
                <w:szCs w:val="28"/>
              </w:rPr>
              <w:t xml:space="preserve">Окончание: _______________________</w:t>
            </w:r>
            <w:r/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8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10.2.Количество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540" w:type="dxa"/>
            <w:vAlign w:val="top"/>
            <w:textDirection w:val="lrTb"/>
            <w:noWrap w:val="false"/>
          </w:tcPr>
          <w:p>
            <w:pPr>
              <w:pStyle w:val="373"/>
              <w:jc w:val="both"/>
            </w:pPr>
            <w:r>
              <w:rPr>
                <w:sz w:val="28"/>
                <w:szCs w:val="28"/>
              </w:rPr>
              <w:t xml:space="preserve">из них учтено: полностью: __________</w:t>
            </w:r>
            <w:r/>
          </w:p>
          <w:p>
            <w:pPr>
              <w:pStyle w:val="373"/>
              <w:jc w:val="both"/>
            </w:pPr>
            <w:r>
              <w:rPr>
                <w:sz w:val="28"/>
                <w:szCs w:val="28"/>
              </w:rPr>
              <w:t xml:space="preserve">учтено частично: __________________</w:t>
            </w:r>
            <w:r/>
          </w:p>
          <w:p>
            <w:pPr>
              <w:pStyle w:val="373"/>
              <w:jc w:val="both"/>
            </w:pPr>
            <w:r>
              <w:rPr>
                <w:sz w:val="28"/>
                <w:szCs w:val="28"/>
              </w:rPr>
              <w:t xml:space="preserve">не учтено: ________________________</w:t>
            </w:r>
            <w:r/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8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10.3.Полный электронный адрес размещения Справки о проведении публичных консультаций: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540" w:type="dxa"/>
            <w:vAlign w:val="top"/>
            <w:textDirection w:val="lrTb"/>
            <w:noWrap w:val="false"/>
          </w:tcPr>
          <w:p>
            <w:pPr>
              <w:pStyle w:val="373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8" w:type="dxa"/>
            <w:vAlign w:val="top"/>
            <w:textDirection w:val="lrTb"/>
            <w:noWrap w:val="false"/>
          </w:tcPr>
          <w:p>
            <w:pPr>
              <w:pStyle w:val="373"/>
              <w:jc w:val="both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10.4.</w:t>
            </w:r>
            <w:r>
              <w:rPr>
                <w:sz w:val="28"/>
                <w:szCs w:val="28"/>
              </w:rPr>
              <w:t xml:space="preserve">Иные сведения о проведении публичного обсуждения проекта акта</w:t>
            </w:r>
            <w:r>
              <w:rPr>
                <w:sz w:val="28"/>
                <w:szCs w:val="28"/>
              </w:rPr>
              <w:t xml:space="preserve">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540" w:type="dxa"/>
            <w:vAlign w:val="top"/>
            <w:textDirection w:val="lrTb"/>
            <w:noWrap w:val="false"/>
          </w:tcPr>
          <w:p>
            <w:pPr>
              <w:pStyle w:val="373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373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73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73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73"/>
        <w:rPr>
          <w:sz w:val="28"/>
          <w:szCs w:val="28"/>
        </w:rPr>
      </w:pPr>
      <w:r>
        <w:rPr>
          <w:sz w:val="28"/>
          <w:szCs w:val="28"/>
        </w:rPr>
        <w:t xml:space="preserve">Врио Министр</w:t>
      </w:r>
      <w:r>
        <w:rPr>
          <w:sz w:val="28"/>
          <w:szCs w:val="28"/>
        </w:rPr>
        <w:t xml:space="preserve"> сельского хозяйства </w:t>
      </w:r>
      <w:r/>
    </w:p>
    <w:p>
      <w:pPr>
        <w:pStyle w:val="373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                   Р.А. Калентьев</w:t>
      </w:r>
      <w:r/>
    </w:p>
    <w:sectPr>
      <w:footnotePr/>
      <w:type w:val="nextPage"/>
      <w:pgSz w:w="16838" w:h="11906" w:orient="landscape"/>
      <w:pgMar w:top="1134" w:right="1134" w:bottom="1135" w:left="1134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        Times New Roman">
    <w:panose1 w:val="02020603050405020304"/>
  </w:font>
  <w:font w:name="Verdana">
    <w:panose1 w:val="020B0604030504040204"/>
  </w:font>
  <w:font w:name="Calibri">
    <w:panose1 w:val="020F0502020204030204"/>
  </w:font>
  <w:font w:name="MS Mincho">
    <w:panose1 w:val="020B06090702050802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373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373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373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373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373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373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373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373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373"/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8"/>
    <w:next w:val="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8"/>
    <w:next w:val="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8"/>
    <w:next w:val="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77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78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79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0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1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2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3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4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5">
    <w:name w:val="TOC Heading"/>
    <w:uiPriority w:val="39"/>
    <w:unhideWhenUsed/>
  </w:style>
  <w:style w:type="paragraph" w:styleId="373">
    <w:name w:val="Обычный"/>
    <w:next w:val="373"/>
    <w:link w:val="373"/>
    <w:rPr>
      <w:lang w:val="ru-RU" w:bidi="ar-SA" w:eastAsia="ru-RU"/>
    </w:rPr>
    <w:pPr>
      <w:widowControl w:val="off"/>
    </w:pPr>
  </w:style>
  <w:style w:type="character" w:styleId="374">
    <w:name w:val="Основной шрифт абзаца, Знак Знак1"/>
    <w:next w:val="374"/>
    <w:link w:val="378"/>
    <w:semiHidden/>
  </w:style>
  <w:style w:type="table" w:styleId="375">
    <w:name w:val="Обычная таблица"/>
    <w:next w:val="375"/>
    <w:link w:val="373"/>
    <w:semiHidden/>
    <w:tblPr/>
  </w:style>
  <w:style w:type="numbering" w:styleId="376">
    <w:name w:val="Нет списка"/>
    <w:next w:val="376"/>
    <w:link w:val="373"/>
    <w:semiHidden/>
  </w:style>
  <w:style w:type="paragraph" w:styleId="377">
    <w:name w:val="ConsPlusNonformat"/>
    <w:next w:val="377"/>
    <w:link w:val="373"/>
    <w:rPr>
      <w:rFonts w:ascii="Courier New" w:hAnsi="Courier New"/>
      <w:lang w:val="ru-RU" w:bidi="ar-SA" w:eastAsia="ru-RU"/>
    </w:rPr>
    <w:pPr>
      <w:widowControl w:val="off"/>
    </w:pPr>
  </w:style>
  <w:style w:type="paragraph" w:styleId="378">
    <w:name w:val="UserStyle_0"/>
    <w:basedOn w:val="373"/>
    <w:next w:val="378"/>
    <w:link w:val="374"/>
    <w:rPr>
      <w:rFonts w:ascii="Tahoma" w:hAnsi="Tahoma"/>
      <w:lang w:val="en-US" w:eastAsia="en-US"/>
    </w:rPr>
    <w:pPr>
      <w:spacing w:after="100" w:afterAutospacing="1" w:before="100" w:beforeAutospacing="1"/>
      <w:widowControl/>
    </w:pPr>
  </w:style>
  <w:style w:type="paragraph" w:styleId="379">
    <w:name w:val="Без интервала"/>
    <w:next w:val="379"/>
    <w:link w:val="373"/>
    <w:rPr>
      <w:rFonts w:ascii="Calibri" w:hAnsi="Calibri" w:eastAsia="Calibri"/>
      <w:sz w:val="22"/>
      <w:szCs w:val="22"/>
      <w:lang w:val="ru-RU" w:bidi="ar-SA" w:eastAsia="en-US"/>
    </w:rPr>
  </w:style>
  <w:style w:type="character" w:styleId="380">
    <w:name w:val="Гиперссылка"/>
    <w:next w:val="380"/>
    <w:link w:val="373"/>
    <w:rPr>
      <w:color w:val="0000FF"/>
      <w:u w:val="single"/>
    </w:rPr>
  </w:style>
  <w:style w:type="paragraph" w:styleId="381">
    <w:name w:val="Текст выноски"/>
    <w:basedOn w:val="373"/>
    <w:next w:val="381"/>
    <w:link w:val="373"/>
    <w:semiHidden/>
    <w:rPr>
      <w:rFonts w:ascii="Tahoma" w:hAnsi="Tahoma"/>
      <w:sz w:val="16"/>
      <w:szCs w:val="16"/>
    </w:rPr>
  </w:style>
  <w:style w:type="paragraph" w:styleId="382">
    <w:name w:val="List Paragraph"/>
    <w:basedOn w:val="373"/>
    <w:next w:val="382"/>
    <w:link w:val="373"/>
    <w:rPr>
      <w:rFonts w:ascii="Calibri" w:hAnsi="Calibri"/>
      <w:sz w:val="22"/>
      <w:szCs w:val="22"/>
      <w:lang w:eastAsia="en-US"/>
    </w:rPr>
    <w:pPr>
      <w:ind w:left="720"/>
      <w:spacing w:lineRule="auto" w:line="276" w:after="200"/>
      <w:widowControl/>
    </w:pPr>
  </w:style>
  <w:style w:type="paragraph" w:styleId="383">
    <w:name w:val="1"/>
    <w:basedOn w:val="373"/>
    <w:next w:val="383"/>
    <w:link w:val="373"/>
    <w:rPr>
      <w:rFonts w:ascii="Tahoma" w:hAnsi="Tahoma"/>
      <w:lang w:val="en-US" w:eastAsia="en-US"/>
    </w:rPr>
    <w:pPr>
      <w:spacing w:after="100" w:afterAutospacing="1" w:before="100" w:beforeAutospacing="1"/>
      <w:widowControl/>
    </w:pPr>
  </w:style>
  <w:style w:type="paragraph" w:styleId="384">
    <w:name w:val=" Знак Знак Знак Знак Знак Знак Знак Знак Знак Знак Знак Знак Знак Знак"/>
    <w:basedOn w:val="373"/>
    <w:next w:val="384"/>
    <w:link w:val="373"/>
    <w:rPr>
      <w:rFonts w:ascii="Tahoma" w:hAnsi="Tahoma"/>
      <w:lang w:val="en-US" w:eastAsia="en-US"/>
    </w:rPr>
    <w:pPr>
      <w:spacing w:after="100" w:afterAutospacing="1" w:before="100" w:beforeAutospacing="1"/>
      <w:widowControl/>
    </w:pPr>
  </w:style>
  <w:style w:type="paragraph" w:styleId="385">
    <w:name w:val=" Знак"/>
    <w:basedOn w:val="373"/>
    <w:next w:val="385"/>
    <w:link w:val="373"/>
    <w:rPr>
      <w:rFonts w:ascii="Verdana" w:hAnsi="Verdana"/>
      <w:lang w:val="en-US" w:eastAsia="en-US"/>
    </w:rPr>
    <w:pPr>
      <w:ind w:left="720" w:hanging="720"/>
      <w:jc w:val="both"/>
      <w:spacing w:lineRule="exact" w:line="240" w:after="160"/>
      <w:widowControl/>
      <w:tabs>
        <w:tab w:val="num" w:pos="720" w:leader="none"/>
      </w:tabs>
    </w:pPr>
  </w:style>
  <w:style w:type="paragraph" w:styleId="386">
    <w:name w:val=" Знак Знак"/>
    <w:basedOn w:val="373"/>
    <w:next w:val="386"/>
    <w:link w:val="373"/>
    <w:rPr>
      <w:rFonts w:ascii="Arial" w:hAnsi="Arial"/>
      <w:lang w:val="fr-FR" w:eastAsia="en-US"/>
    </w:rPr>
    <w:pPr>
      <w:spacing w:lineRule="exact" w:line="240" w:after="160"/>
      <w:widowControl/>
    </w:pPr>
  </w:style>
  <w:style w:type="paragraph" w:styleId="387">
    <w:name w:val="Стиль1"/>
    <w:basedOn w:val="373"/>
    <w:next w:val="387"/>
    <w:link w:val="373"/>
    <w:rPr>
      <w:sz w:val="28"/>
      <w:szCs w:val="28"/>
    </w:rPr>
    <w:pPr>
      <w:ind w:firstLine="539"/>
      <w:jc w:val="both"/>
      <w:spacing w:lineRule="auto" w:line="264"/>
      <w:widowControl/>
    </w:pPr>
  </w:style>
  <w:style w:type="paragraph" w:styleId="388">
    <w:name w:val="Знак"/>
    <w:basedOn w:val="373"/>
    <w:next w:val="388"/>
    <w:link w:val="373"/>
    <w:rPr>
      <w:rFonts w:ascii="Verdana" w:hAnsi="Verdana" w:eastAsia="MS Mincho"/>
      <w:lang w:val="en-US" w:eastAsia="en-US"/>
    </w:rPr>
    <w:pPr>
      <w:keepLines/>
      <w:spacing w:lineRule="exact" w:line="240" w:after="160"/>
      <w:widowControl/>
    </w:pPr>
  </w:style>
  <w:style w:type="paragraph" w:styleId="389">
    <w:name w:val=" Знак Знак Знак Знак Знак Знак Знак"/>
    <w:basedOn w:val="373"/>
    <w:next w:val="389"/>
    <w:link w:val="373"/>
    <w:rPr>
      <w:rFonts w:ascii="Verdana" w:hAnsi="Verdana"/>
      <w:lang w:val="en-US" w:eastAsia="en-US"/>
    </w:rPr>
    <w:pPr>
      <w:spacing w:lineRule="exact" w:line="240" w:after="160"/>
      <w:widowControl/>
    </w:pPr>
  </w:style>
  <w:style w:type="paragraph" w:styleId="390">
    <w:name w:val="ConsPlusNormal"/>
    <w:next w:val="390"/>
    <w:link w:val="373"/>
    <w:rPr>
      <w:sz w:val="24"/>
      <w:lang w:val="ru-RU" w:bidi="ar-SA" w:eastAsia="ru-RU"/>
    </w:rPr>
    <w:pPr>
      <w:widowControl w:val="off"/>
    </w:pPr>
  </w:style>
  <w:style w:type="paragraph" w:styleId="391">
    <w:name w:val=" Знак Знак1 Знак Знак"/>
    <w:basedOn w:val="373"/>
    <w:next w:val="391"/>
    <w:link w:val="373"/>
    <w:rPr>
      <w:rFonts w:ascii="Tahoma" w:hAnsi="Tahoma"/>
      <w:lang w:val="en-US" w:eastAsia="en-US"/>
    </w:rPr>
    <w:pPr>
      <w:spacing w:after="100" w:afterAutospacing="1" w:before="100" w:beforeAutospacing="1"/>
      <w:widowControl/>
    </w:pPr>
  </w:style>
  <w:style w:type="character" w:styleId="1880" w:default="1">
    <w:name w:val="Default Paragraph Font"/>
    <w:uiPriority w:val="1"/>
    <w:semiHidden/>
    <w:unhideWhenUsed/>
  </w:style>
  <w:style w:type="numbering" w:styleId="1881" w:default="1">
    <w:name w:val="No List"/>
    <w:uiPriority w:val="99"/>
    <w:semiHidden/>
    <w:unhideWhenUsed/>
  </w:style>
  <w:style w:type="paragraph" w:styleId="1882" w:default="1">
    <w:name w:val="Normal"/>
    <w:qFormat/>
  </w:style>
  <w:style w:type="table" w:styleId="188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2021-05-31T15:05:31Z</dcterms:modified>
</cp:coreProperties>
</file>