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0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spacing w:lineRule="auto" w:line="240" w:after="0"/>
        <w:rPr>
          <w:b/>
          <w:sz w:val="28"/>
        </w:rPr>
      </w:pPr>
      <w:r>
        <w:rPr>
          <w:sz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-146049</wp:posOffset>
                </wp:positionV>
                <wp:extent cx="720090" cy="955675"/>
                <wp:effectExtent l="0" t="0" r="0" b="0"/>
                <wp:wrapSquare wrapText="bothSides"/>
                <wp:docPr id="1" name="Рисунок 1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200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524288;o:allowoverlap:true;o:allowincell:true;mso-position-horizontal-relative:text;margin-left:203.1pt;mso-position-horizontal:absolute;mso-position-vertical-relative:text;margin-top:-11.5pt;mso-position-vertical:absolute;width:56.7pt;height:75.3pt;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jc w:val="center"/>
        <w:spacing w:lineRule="auto" w:line="240" w:after="0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spacing w:lineRule="auto" w:line="240" w:after="0"/>
        <w:rPr>
          <w:b/>
          <w:sz w:val="28"/>
        </w:rPr>
      </w:pPr>
      <w:r>
        <w:rPr>
          <w:b/>
          <w:sz w:val="28"/>
        </w:rPr>
      </w:r>
      <w:r/>
    </w:p>
    <w:p>
      <w:pPr>
        <w:spacing w:lineRule="auto" w:line="240" w:after="0"/>
        <w:rPr>
          <w:b/>
        </w:rPr>
      </w:pPr>
      <w:r>
        <w:rPr>
          <w:b/>
        </w:rPr>
      </w:r>
      <w:r/>
    </w:p>
    <w:p>
      <w:pPr>
        <w:jc w:val="center"/>
        <w:spacing w:lineRule="auto" w:line="240"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СЕЛЬСКОГО ХОЗЯЙСТВА</w:t>
      </w:r>
      <w:r/>
    </w:p>
    <w:p>
      <w:pPr>
        <w:jc w:val="center"/>
        <w:spacing w:lineRule="auto" w:line="240"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ПЕНЗЕНСКОЙ ОБЛАСТИ</w:t>
      </w:r>
      <w:r/>
    </w:p>
    <w:p>
      <w:pPr>
        <w:jc w:val="center"/>
        <w:spacing w:lineRule="auto" w:line="24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jc w:val="center"/>
        <w:keepNext/>
        <w:spacing w:lineRule="auto" w:line="240" w:after="0"/>
        <w:rPr>
          <w:rFonts w:ascii="Times New Roman" w:hAnsi="Times New Roman"/>
          <w:b/>
          <w:sz w:val="36"/>
          <w:szCs w:val="36"/>
        </w:rPr>
        <w:outlineLvl w:val="0"/>
      </w:pPr>
      <w:r>
        <w:rPr>
          <w:rFonts w:ascii="Times New Roman" w:hAnsi="Times New Roman"/>
          <w:b/>
          <w:sz w:val="36"/>
          <w:szCs w:val="36"/>
        </w:rPr>
        <w:t xml:space="preserve">П</w:t>
      </w:r>
      <w:r>
        <w:rPr>
          <w:rFonts w:ascii="Times New Roman" w:hAnsi="Times New Roman"/>
          <w:b/>
          <w:sz w:val="36"/>
          <w:szCs w:val="36"/>
        </w:rPr>
        <w:t xml:space="preserve"> Р И К А З</w:t>
      </w:r>
      <w:r/>
    </w:p>
    <w:p>
      <w:pPr>
        <w:ind w:firstLine="720"/>
        <w:spacing w:lineRule="auto" w:line="24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</w:t>
      </w:r>
      <w:r/>
    </w:p>
    <w:p>
      <w:pPr>
        <w:jc w:val="center"/>
        <w:spacing w:lineRule="auto" w:line="24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i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________________________ № ____</w:t>
      </w:r>
      <w:r/>
    </w:p>
    <w:p>
      <w:pPr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Пенза</w:t>
      </w:r>
      <w:r/>
    </w:p>
    <w:p>
      <w:pPr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9855"/>
      </w:tblGrid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853" w:type="dxa"/>
            <w:textDirection w:val="lrTb"/>
            <w:noWrap w:val="false"/>
          </w:tcPr>
          <w:tbl>
            <w:tblPr>
              <w:tblW w:w="11193" w:type="dxa"/>
              <w:tblLook w:val="01E0" w:firstRow="1" w:lastRow="1" w:firstColumn="1" w:lastColumn="1" w:noHBand="0" w:noVBand="0"/>
            </w:tblPr>
            <w:tblGrid>
              <w:gridCol w:w="5952"/>
              <w:gridCol w:w="5241"/>
            </w:tblGrid>
            <w:tr>
              <w:trPr/>
              <w:tc>
                <w:tcPr>
                  <w:tcBorders>
                    <w:left w:val="none" w:color="000000" w:sz="0" w:space="0"/>
                    <w:top w:val="none" w:color="000000" w:sz="0" w:space="0"/>
                    <w:right w:val="none" w:color="000000" w:sz="0" w:space="0"/>
                    <w:bottom w:val="none" w:color="000000" w:sz="0" w:space="0"/>
                  </w:tcBorders>
                  <w:tcW w:w="5952" w:type="dxa"/>
                  <w:textDirection w:val="lrTb"/>
                  <w:noWrap w:val="false"/>
                </w:tcPr>
                <w:p>
                  <w:pPr>
                    <w:pStyle w:val="613"/>
                    <w:rPr>
                      <w:rFonts w:ascii="Times New Roman" w:hAnsi="Times New Roman"/>
                      <w:b w:val="false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b w:val="false"/>
                      <w:sz w:val="26"/>
                      <w:szCs w:val="28"/>
                    </w:rPr>
                    <w:t xml:space="preserve">Об утвержд</w:t>
                  </w:r>
                  <w:r>
                    <w:rPr>
                      <w:rFonts w:ascii="Times New Roman" w:hAnsi="Times New Roman"/>
                      <w:b w:val="false"/>
                      <w:sz w:val="26"/>
                      <w:szCs w:val="28"/>
                    </w:rPr>
                    <w:t xml:space="preserve">ении </w:t>
                  </w:r>
                  <w:r>
                    <w:rPr>
                      <w:rFonts w:ascii="Times New Roman" w:hAnsi="Times New Roman"/>
                      <w:b w:val="false"/>
                      <w:bCs/>
                      <w:sz w:val="26"/>
                      <w:szCs w:val="28"/>
                    </w:rPr>
                    <w:t xml:space="preserve">Доклада с обобщением правоприменительной практики </w:t>
                    <w:br/>
                  </w:r>
                  <w:r>
                    <w:rPr>
                      <w:rFonts w:ascii="Times New Roman" w:hAnsi="Times New Roman"/>
                      <w:b w:val="false"/>
                      <w:bCs/>
                      <w:sz w:val="26"/>
                      <w:szCs w:val="28"/>
                    </w:rPr>
                    <w:t xml:space="preserve">при </w:t>
                  </w:r>
                  <w:r>
                    <w:rPr>
                      <w:rFonts w:ascii="Times New Roman" w:hAnsi="Times New Roman"/>
                      <w:b w:val="false"/>
                      <w:bCs/>
                      <w:sz w:val="26"/>
                      <w:szCs w:val="28"/>
                    </w:rPr>
                    <w:t xml:space="preserve">осуществлени</w:t>
                  </w:r>
                  <w:r>
                    <w:rPr>
                      <w:rFonts w:ascii="Times New Roman" w:hAnsi="Times New Roman"/>
                      <w:b w:val="false"/>
                      <w:bCs/>
                      <w:sz w:val="26"/>
                      <w:szCs w:val="28"/>
                    </w:rPr>
                    <w:t xml:space="preserve">и</w:t>
                  </w:r>
                  <w:r>
                    <w:rPr>
                      <w:rFonts w:ascii="Times New Roman" w:hAnsi="Times New Roman"/>
                      <w:b w:val="false"/>
                      <w:bCs/>
                      <w:sz w:val="26"/>
                      <w:szCs w:val="28"/>
                    </w:rPr>
                    <w:t xml:space="preserve"> лицензионного контроля (надзора) за  деятельностью по заготовке, хранению, переработке и реализации лома черных и цветных металлов на территории Пензенской области </w:t>
                  </w:r>
                  <w:r>
                    <w:rPr>
                      <w:rFonts w:ascii="Times New Roman" w:hAnsi="Times New Roman"/>
                      <w:b w:val="false"/>
                      <w:bCs/>
                      <w:sz w:val="26"/>
                      <w:szCs w:val="28"/>
                    </w:rPr>
                    <w:t xml:space="preserve">за 2025 год</w:t>
                  </w:r>
                  <w:r>
                    <w:rPr>
                      <w:sz w:val="26"/>
                    </w:rPr>
                  </w:r>
                  <w:r/>
                </w:p>
              </w:tc>
              <w:tc>
                <w:tcPr>
                  <w:tcBorders>
                    <w:left w:val="none" w:color="000000" w:sz="0" w:space="0"/>
                    <w:top w:val="none" w:color="000000" w:sz="0" w:space="0"/>
                    <w:right w:val="none" w:color="000000" w:sz="0" w:space="0"/>
                    <w:bottom w:val="none" w:color="000000" w:sz="0" w:space="0"/>
                  </w:tcBorders>
                  <w:tcW w:w="5241" w:type="dxa"/>
                  <w:textDirection w:val="lrTb"/>
                  <w:noWrap w:val="false"/>
                </w:tcPr>
                <w:p>
                  <w:pPr>
                    <w:jc w:val="both"/>
                    <w:spacing w:lineRule="auto" w:line="240"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</w:r>
                  <w:r/>
                </w:p>
              </w:tc>
            </w:tr>
          </w:tbl>
          <w:p>
            <w:pPr>
              <w:spacing w:lineRule="auto" w:line="24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/>
          </w:p>
          <w:p>
            <w:pPr>
              <w:spacing w:lineRule="auto" w:line="24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/>
          </w:p>
        </w:tc>
      </w:tr>
    </w:tbl>
    <w:p>
      <w:pPr>
        <w:pStyle w:val="619"/>
        <w:ind w:firstLine="708"/>
        <w:jc w:val="both"/>
        <w:spacing w:lineRule="auto" w:line="240" w:after="0" w:before="0"/>
        <w:shd w:val="clear" w:color="auto" w:fill="FFFFFF"/>
        <w:rPr>
          <w:rFonts w:ascii="Times New Roman" w:hAnsi="Times New Roman"/>
          <w:sz w:val="26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/>
          <w:sz w:val="26"/>
          <w:szCs w:val="28"/>
        </w:rPr>
        <w:t xml:space="preserve">В соответст</w:t>
      </w:r>
      <w:r>
        <w:rPr>
          <w:rFonts w:ascii="Times New Roman" w:hAnsi="Times New Roman"/>
          <w:sz w:val="26"/>
          <w:szCs w:val="28"/>
        </w:rPr>
        <w:t xml:space="preserve">вии со статьей 47 Федерального закона от 31.07.2020 </w:t>
        <w:br/>
        <w:t xml:space="preserve">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/>
          <w:sz w:val="26"/>
          <w:szCs w:val="28"/>
          <w:lang w:val="ru-RU"/>
        </w:rPr>
        <w:t xml:space="preserve"> (с последующими изменениями),</w:t>
      </w:r>
      <w:r>
        <w:rPr>
          <w:rFonts w:ascii="Times New Roman" w:hAnsi="Times New Roman"/>
          <w:sz w:val="26"/>
          <w:szCs w:val="28"/>
          <w:lang w:val="ru-RU"/>
        </w:rPr>
        <w:t xml:space="preserve"> пунктом 37 </w:t>
      </w:r>
      <w:r>
        <w:rPr>
          <w:rFonts w:ascii="Times New Roman" w:hAnsi="Times New Roman"/>
          <w:sz w:val="26"/>
          <w:szCs w:val="28"/>
          <w:lang w:val="ru-RU"/>
        </w:rPr>
        <w:t xml:space="preserve">постановления Правительства Российской Федерации от 28.05.2022 № 980 </w:t>
      </w:r>
      <w:r>
        <w:rPr>
          <w:rFonts w:ascii="Times New Roman" w:hAnsi="Times New Roman"/>
          <w:sz w:val="26"/>
          <w:szCs w:val="28"/>
          <w:lang w:val="ru-RU"/>
        </w:rPr>
        <w:br/>
        <w:t xml:space="preserve">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</w:t>
      </w:r>
      <w:r>
        <w:rPr>
          <w:rFonts w:ascii="Times New Roman" w:hAnsi="Times New Roman"/>
          <w:sz w:val="26"/>
          <w:szCs w:val="28"/>
          <w:lang w:val="ru-RU"/>
        </w:rPr>
        <w:t xml:space="preserve">, приказом Министерства сельского хозяйства Пензенской области от 10.12.2025 № 654 </w:t>
      </w:r>
      <w:r>
        <w:rPr>
          <w:rFonts w:ascii="Times New Roman" w:hAnsi="Times New Roman"/>
          <w:sz w:val="26"/>
          <w:szCs w:val="28"/>
          <w:lang w:val="ru-RU"/>
        </w:rPr>
        <w:t xml:space="preserve"> </w:t>
        <w:br/>
        <w:t xml:space="preserve">«</w:t>
      </w:r>
      <w:r>
        <w:rPr>
          <w:rFonts w:ascii="Times New Roman" w:hAnsi="Times New Roman"/>
          <w:sz w:val="26"/>
          <w:lang w:val="ru-RU"/>
        </w:rPr>
        <w:t xml:space="preserve">Об утверждении программы</w:t>
      </w:r>
      <w:r>
        <w:rPr>
          <w:rFonts w:ascii="Times New Roman" w:hAnsi="Times New Roman"/>
          <w:sz w:val="26"/>
          <w:lang w:val="ru-RU"/>
        </w:rPr>
        <w:t xml:space="preserve"> профилактики нарушений лицензионных требований, соблюдение которых оценивает</w:t>
      </w:r>
      <w:r>
        <w:rPr>
          <w:rFonts w:ascii="Times New Roman" w:hAnsi="Times New Roman"/>
          <w:sz w:val="26"/>
          <w:lang w:val="ru-RU"/>
        </w:rPr>
        <w:t xml:space="preserve">ся при осуществлении федерального государственного лицензионного контроля за соблюдением лицензионных требований при осуществлении деятельности по заготовке, хранению, переработке и реализации лома черных и цветных металлов на территории Пензенской области</w:t>
      </w:r>
      <w:r>
        <w:rPr>
          <w:rFonts w:ascii="Times New Roman" w:hAnsi="Times New Roman"/>
          <w:sz w:val="26"/>
          <w:lang w:val="ru-RU"/>
        </w:rPr>
        <w:t xml:space="preserve">»,</w:t>
      </w:r>
      <w:r>
        <w:rPr>
          <w:rFonts w:ascii="Times New Roman" w:hAnsi="Times New Roman"/>
          <w:sz w:val="26"/>
          <w:szCs w:val="28"/>
          <w:lang w:val="ru-RU"/>
        </w:rPr>
        <w:t xml:space="preserve"> руководствуясь постановлением Правительства Пензенской области от 10.02.2009 </w:t>
        <w:br/>
        <w:t xml:space="preserve">№ 99-пП «Об утверждении Положения о Министерстве сельского хозяйства Пензенской области» (с последующими изменениями),</w:t>
      </w:r>
      <w:r>
        <w:rPr>
          <w:sz w:val="26"/>
        </w:rPr>
      </w:r>
      <w:r/>
    </w:p>
    <w:p>
      <w:pPr>
        <w:contextualSpacing w:val="true"/>
        <w:ind w:firstLine="0"/>
        <w:jc w:val="center"/>
        <w:spacing w:lineRule="auto" w:line="240" w:after="0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  <w:br/>
      </w:r>
      <w:r>
        <w:rPr>
          <w:rFonts w:ascii="Times New Roman" w:hAnsi="Times New Roman"/>
          <w:b/>
          <w:sz w:val="26"/>
          <w:szCs w:val="28"/>
        </w:rPr>
        <w:t xml:space="preserve">П</w:t>
      </w:r>
      <w:r>
        <w:rPr>
          <w:rFonts w:ascii="Times New Roman" w:hAnsi="Times New Roman"/>
          <w:b/>
          <w:sz w:val="26"/>
          <w:szCs w:val="28"/>
        </w:rPr>
        <w:t xml:space="preserve"> Р И К А З Ы В А Ю:</w:t>
      </w:r>
      <w:r>
        <w:rPr>
          <w:sz w:val="26"/>
        </w:rPr>
      </w:r>
      <w:r/>
    </w:p>
    <w:p>
      <w:pPr>
        <w:pStyle w:val="60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firstLine="567"/>
        <w:jc w:val="both"/>
        <w:spacing w:lineRule="auto" w:line="240" w:after="0"/>
        <w:rPr>
          <w:rFonts w:ascii="Times New Roman" w:hAnsi="Times New Roman" w:cs="Times New Roman" w:eastAsia="Times New Roman"/>
          <w:sz w:val="26"/>
          <w:szCs w:val="28"/>
        </w:rPr>
      </w:pPr>
      <w:r>
        <w:rPr>
          <w:rFonts w:ascii="Times New Roman" w:hAnsi="Times New Roman" w:cs="Times New Roman" w:eastAsia="Times New Roman"/>
          <w:sz w:val="26"/>
          <w:szCs w:val="28"/>
        </w:rPr>
        <w:t xml:space="preserve">1. Утвердить прилагаемый Док</w:t>
      </w:r>
      <w:r>
        <w:rPr>
          <w:rFonts w:ascii="Times New Roman" w:hAnsi="Times New Roman" w:cs="Times New Roman" w:eastAsia="Times New Roman"/>
          <w:sz w:val="26"/>
          <w:szCs w:val="28"/>
        </w:rPr>
        <w:t xml:space="preserve">л</w:t>
      </w:r>
      <w:r>
        <w:rPr>
          <w:rFonts w:ascii="Times New Roman" w:hAnsi="Times New Roman" w:cs="Times New Roman" w:eastAsia="Times New Roman"/>
          <w:sz w:val="26"/>
          <w:szCs w:val="28"/>
        </w:rPr>
        <w:t xml:space="preserve">ад с обобщением правоприменительной практики при осуществлении </w:t>
      </w:r>
      <w:r>
        <w:rPr>
          <w:rFonts w:ascii="Times New Roman" w:hAnsi="Times New Roman" w:cs="Times New Roman" w:eastAsia="Times New Roman"/>
          <w:bCs/>
          <w:sz w:val="26"/>
          <w:szCs w:val="28"/>
        </w:rPr>
        <w:t xml:space="preserve">лицензионного контроля (надзора) за деятельностью по заготовке, хр</w:t>
      </w:r>
      <w:r>
        <w:rPr>
          <w:rFonts w:ascii="Times New Roman" w:hAnsi="Times New Roman" w:cs="Times New Roman" w:eastAsia="Times New Roman"/>
          <w:bCs/>
          <w:sz w:val="26"/>
          <w:szCs w:val="28"/>
        </w:rPr>
        <w:t xml:space="preserve">анению, переработке и реализации лома черных и цветных металлов на территории Пензенской области </w:t>
      </w:r>
      <w:r>
        <w:rPr>
          <w:rFonts w:ascii="Times New Roman" w:hAnsi="Times New Roman" w:cs="Times New Roman" w:eastAsia="Times New Roman"/>
          <w:bCs/>
          <w:sz w:val="26"/>
          <w:szCs w:val="28"/>
        </w:rPr>
        <w:t xml:space="preserve">за 2025 год</w:t>
      </w:r>
      <w:r>
        <w:rPr>
          <w:rFonts w:ascii="Times New Roman" w:hAnsi="Times New Roman" w:cs="Times New Roman" w:eastAsia="Times New Roman"/>
          <w:sz w:val="26"/>
        </w:rPr>
        <w:t xml:space="preserve">.</w:t>
      </w:r>
      <w:r>
        <w:rPr>
          <w:rFonts w:ascii="Times New Roman" w:hAnsi="Times New Roman" w:cs="Times New Roman" w:eastAsia="Times New Roman"/>
          <w:sz w:val="26"/>
        </w:rPr>
      </w:r>
      <w:r/>
    </w:p>
    <w:p>
      <w:pPr>
        <w:ind w:firstLine="567"/>
        <w:jc w:val="both"/>
        <w:spacing w:lineRule="auto" w:line="240" w:after="0"/>
        <w:rPr>
          <w:rFonts w:ascii="Times New Roman" w:hAnsi="Times New Roman" w:cs="Times New Roman" w:eastAsia="Times New Roman"/>
          <w:sz w:val="26"/>
          <w:szCs w:val="28"/>
        </w:rPr>
      </w:pPr>
      <w:r>
        <w:rPr>
          <w:rFonts w:ascii="Times New Roman" w:hAnsi="Times New Roman" w:cs="Times New Roman" w:eastAsia="Times New Roman"/>
          <w:sz w:val="26"/>
        </w:rPr>
        <w:t xml:space="preserve">2. </w:t>
      </w:r>
      <w:r>
        <w:rPr>
          <w:rFonts w:ascii="Times New Roman" w:hAnsi="Times New Roman" w:cs="Times New Roman" w:eastAsia="Times New Roman"/>
          <w:sz w:val="26"/>
          <w:szCs w:val="28"/>
        </w:rPr>
        <w:t xml:space="preserve">Настоящий приказ разместить</w:t>
      </w:r>
      <w:r>
        <w:rPr>
          <w:rFonts w:ascii="Times New Roman" w:hAnsi="Times New Roman" w:cs="Times New Roman" w:eastAsia="Times New Roman"/>
          <w:sz w:val="26"/>
          <w:szCs w:val="28"/>
        </w:rPr>
        <w:t xml:space="preserve"> на официальном сайте Министерства сельского хозяйства Пензенской области в информационно – телекоммуникационной сети «Интернет» (</w:t>
      </w:r>
      <w:r>
        <w:rPr>
          <w:rFonts w:ascii="Times New Roman" w:hAnsi="Times New Roman" w:cs="Times New Roman" w:eastAsia="Times New Roman"/>
          <w:sz w:val="26"/>
          <w:szCs w:val="28"/>
          <w:lang w:val="en-US"/>
        </w:rPr>
        <w:t xml:space="preserve">https</w:t>
      </w:r>
      <w:r>
        <w:rPr>
          <w:rFonts w:ascii="Times New Roman" w:hAnsi="Times New Roman" w:cs="Times New Roman" w:eastAsia="Times New Roman"/>
          <w:sz w:val="26"/>
          <w:szCs w:val="28"/>
        </w:rPr>
        <w:t xml:space="preserve">://</w:t>
      </w:r>
      <w:r>
        <w:rPr>
          <w:rFonts w:ascii="Times New Roman" w:hAnsi="Times New Roman" w:cs="Times New Roman" w:eastAsia="Times New Roman"/>
          <w:sz w:val="26"/>
          <w:szCs w:val="28"/>
          <w:lang w:val="en-US"/>
        </w:rPr>
        <w:t xml:space="preserve">mcx</w:t>
      </w:r>
      <w:r>
        <w:rPr>
          <w:rFonts w:ascii="Times New Roman" w:hAnsi="Times New Roman" w:cs="Times New Roman" w:eastAsia="Times New Roman"/>
          <w:sz w:val="26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6"/>
          <w:szCs w:val="28"/>
          <w:lang w:val="en-US"/>
        </w:rPr>
        <w:t xml:space="preserve">pnzreg</w:t>
      </w:r>
      <w:r>
        <w:rPr>
          <w:rFonts w:ascii="Times New Roman" w:hAnsi="Times New Roman" w:cs="Times New Roman" w:eastAsia="Times New Roman"/>
          <w:sz w:val="26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6"/>
          <w:szCs w:val="28"/>
          <w:lang w:val="en-US"/>
        </w:rPr>
        <w:t xml:space="preserve">ru</w:t>
      </w:r>
      <w:r>
        <w:rPr>
          <w:rFonts w:ascii="Times New Roman" w:hAnsi="Times New Roman" w:cs="Times New Roman" w:eastAsia="Times New Roman"/>
          <w:sz w:val="26"/>
          <w:szCs w:val="28"/>
        </w:rPr>
        <w:t xml:space="preserve">).</w:t>
      </w:r>
      <w:r>
        <w:rPr>
          <w:rFonts w:ascii="Times New Roman" w:hAnsi="Times New Roman" w:cs="Times New Roman" w:eastAsia="Times New Roman"/>
          <w:sz w:val="26"/>
        </w:rPr>
      </w:r>
      <w:r/>
    </w:p>
    <w:p>
      <w:pPr>
        <w:ind w:firstLine="567"/>
        <w:jc w:val="both"/>
        <w:spacing w:lineRule="auto" w:line="240" w:after="0"/>
        <w:rPr>
          <w:rFonts w:ascii="Times New Roman" w:hAnsi="Times New Roman" w:cs="Times New Roman" w:eastAsia="Times New Roman"/>
          <w:sz w:val="26"/>
          <w:szCs w:val="28"/>
        </w:rPr>
      </w:pPr>
      <w:r>
        <w:rPr>
          <w:rFonts w:ascii="Times New Roman" w:hAnsi="Times New Roman" w:cs="Times New Roman" w:eastAsia="Times New Roman"/>
          <w:sz w:val="26"/>
          <w:szCs w:val="28"/>
        </w:rPr>
        <w:t xml:space="preserve">3. </w:t>
      </w:r>
      <w:r>
        <w:rPr>
          <w:rFonts w:ascii="Times New Roman" w:hAnsi="Times New Roman" w:cs="Times New Roman" w:eastAsia="Times New Roman"/>
          <w:sz w:val="26"/>
        </w:rPr>
        <w:t xml:space="preserve">Контроль за</w:t>
      </w:r>
      <w:r>
        <w:rPr>
          <w:rFonts w:ascii="Times New Roman" w:hAnsi="Times New Roman" w:cs="Times New Roman" w:eastAsia="Times New Roman"/>
          <w:sz w:val="26"/>
        </w:rPr>
        <w:t xml:space="preserve"> исполнением настоящего приказа возложить на заместителя Министра - начальника управления рынка продовольствия и лицензирования Министерства сельского хозяйства Пензенской области.</w:t>
      </w:r>
      <w:r>
        <w:rPr>
          <w:rFonts w:ascii="Times New Roman" w:hAnsi="Times New Roman" w:cs="Times New Roman" w:eastAsia="Times New Roman"/>
          <w:sz w:val="26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color w:val="FF0000"/>
          <w:sz w:val="26"/>
        </w:rPr>
      </w:pPr>
      <w:r>
        <w:rPr>
          <w:rFonts w:ascii="Times New Roman" w:hAnsi="Times New Roman" w:cs="Times New Roman" w:eastAsia="Times New Roman"/>
          <w:color w:val="FF0000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6"/>
          <w:szCs w:val="28"/>
        </w:rPr>
      </w:pPr>
      <w:r>
        <w:rPr>
          <w:rFonts w:ascii="Times New Roman" w:hAnsi="Times New Roman" w:cs="Times New Roman" w:eastAsia="Times New Roman"/>
          <w:sz w:val="26"/>
          <w:szCs w:val="28"/>
        </w:rPr>
      </w:r>
      <w:r>
        <w:rPr>
          <w:rFonts w:ascii="Times New Roman" w:hAnsi="Times New Roman" w:cs="Times New Roman" w:eastAsia="Times New Roman"/>
          <w:sz w:val="26"/>
        </w:rPr>
      </w:r>
      <w:r/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  <w:szCs w:val="28"/>
        </w:rPr>
      </w:pPr>
      <w:r>
        <w:rPr>
          <w:rFonts w:ascii="Times New Roman" w:hAnsi="Times New Roman" w:cs="Times New Roman" w:eastAsia="Times New Roman"/>
          <w:sz w:val="26"/>
          <w:szCs w:val="28"/>
        </w:rPr>
        <w:t xml:space="preserve">Заместитель Председателя</w:t>
      </w:r>
      <w:r>
        <w:rPr>
          <w:rFonts w:ascii="Times New Roman" w:hAnsi="Times New Roman" w:cs="Times New Roman" w:eastAsia="Times New Roman"/>
          <w:sz w:val="26"/>
        </w:rPr>
      </w:r>
      <w:r/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  <w:szCs w:val="28"/>
        </w:rPr>
      </w:pPr>
      <w:r>
        <w:rPr>
          <w:rFonts w:ascii="Times New Roman" w:hAnsi="Times New Roman" w:cs="Times New Roman" w:eastAsia="Times New Roman"/>
          <w:sz w:val="26"/>
          <w:szCs w:val="28"/>
        </w:rPr>
        <w:t xml:space="preserve">Правительства - Министр                                                                              Р.А. Калентьев</w:t>
      </w:r>
      <w:r>
        <w:rPr>
          <w:rFonts w:ascii="Times New Roman" w:hAnsi="Times New Roman" w:cs="Times New Roman" w:eastAsia="Times New Roman"/>
          <w:sz w:val="26"/>
        </w:rPr>
      </w:r>
      <w:r/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  <w:szCs w:val="28"/>
        </w:rPr>
      </w:r>
      <w:r>
        <w:rPr>
          <w:rFonts w:ascii="Times New Roman" w:hAnsi="Times New Roman" w:cs="Times New Roman" w:eastAsia="Times New Roman"/>
          <w:sz w:val="26"/>
          <w:szCs w:val="28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ind w:firstLine="709"/>
        <w:jc w:val="right"/>
        <w:spacing w:lineRule="auto" w:line="276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Утвержден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9"/>
        <w:jc w:val="right"/>
        <w:spacing w:lineRule="auto" w:line="276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приказом Министерства сельского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9"/>
        <w:jc w:val="right"/>
        <w:spacing w:lineRule="auto" w:line="276" w:after="0"/>
      </w:pPr>
      <w:r>
        <w:rPr>
          <w:rFonts w:ascii="Times New Roman" w:hAnsi="Times New Roman"/>
          <w:sz w:val="28"/>
          <w:szCs w:val="28"/>
          <w:lang w:val="ru-RU"/>
        </w:rPr>
        <w:t xml:space="preserve"> хозяйства Пензенской области</w:t>
      </w:r>
      <w:r/>
      <w:r/>
    </w:p>
    <w:p>
      <w:pPr>
        <w:jc w:val="center"/>
        <w:tabs>
          <w:tab w:val="left" w:pos="2325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ab/>
        <w:tab/>
        <w:tab/>
        <w:tab/>
        <w:t xml:space="preserve">от </w:t>
      </w:r>
      <w:r>
        <w:rPr>
          <w:rFonts w:ascii="Times New Roman" w:hAnsi="Times New Roman"/>
          <w:sz w:val="28"/>
        </w:rPr>
        <w:t xml:space="preserve">________________ </w:t>
      </w:r>
      <w:r>
        <w:rPr>
          <w:rFonts w:ascii="Times New Roman" w:hAnsi="Times New Roman"/>
          <w:sz w:val="28"/>
        </w:rPr>
        <w:t xml:space="preserve">№</w:t>
      </w:r>
      <w:r>
        <w:rPr>
          <w:rFonts w:ascii="Times New Roman" w:hAnsi="Times New Roman"/>
          <w:sz w:val="28"/>
        </w:rPr>
        <w:t xml:space="preserve"> _____</w:t>
      </w:r>
      <w:r>
        <w:rPr>
          <w:rFonts w:ascii="Times New Roman" w:hAnsi="Times New Roman"/>
        </w:rPr>
      </w:r>
      <w:r/>
    </w:p>
    <w:p>
      <w:pPr>
        <w:pStyle w:val="406"/>
        <w:jc w:val="right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jc w:val="center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ДОКЛАД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 w:val="false"/>
          <w:bCs/>
          <w:sz w:val="28"/>
          <w:szCs w:val="28"/>
        </w:rPr>
        <w:t xml:space="preserve"> с обобщением правоприменительной практики </w:t>
        <w:br/>
      </w:r>
      <w:r>
        <w:rPr>
          <w:rFonts w:ascii="Times New Roman" w:hAnsi="Times New Roman"/>
          <w:b w:val="false"/>
          <w:bCs/>
          <w:sz w:val="28"/>
          <w:szCs w:val="28"/>
        </w:rPr>
        <w:t xml:space="preserve">при </w:t>
      </w:r>
      <w:r>
        <w:rPr>
          <w:rFonts w:ascii="Times New Roman" w:hAnsi="Times New Roman"/>
          <w:b w:val="false"/>
          <w:bCs/>
          <w:sz w:val="28"/>
          <w:szCs w:val="28"/>
        </w:rPr>
        <w:t xml:space="preserve">осуществлени</w:t>
      </w:r>
      <w:r>
        <w:rPr>
          <w:rFonts w:ascii="Times New Roman" w:hAnsi="Times New Roman"/>
          <w:b w:val="false"/>
          <w:bCs/>
          <w:sz w:val="28"/>
          <w:szCs w:val="28"/>
        </w:rPr>
        <w:t xml:space="preserve">и</w:t>
      </w:r>
      <w:r>
        <w:rPr>
          <w:rFonts w:ascii="Times New Roman" w:hAnsi="Times New Roman"/>
          <w:b w:val="false"/>
          <w:bCs/>
          <w:sz w:val="28"/>
          <w:szCs w:val="28"/>
        </w:rPr>
        <w:t xml:space="preserve"> лицензионного контроля (надзора) за деятельностью по заготовке, хранению, переработке и реализации лома черных и цветных металлов на территории Пензенской области </w:t>
      </w:r>
      <w:r>
        <w:rPr>
          <w:rFonts w:ascii="Times New Roman" w:hAnsi="Times New Roman"/>
          <w:b w:val="false"/>
          <w:bCs/>
          <w:sz w:val="28"/>
          <w:szCs w:val="28"/>
        </w:rPr>
        <w:t xml:space="preserve">за 2025 год</w:t>
      </w:r>
      <w:r>
        <w:rPr>
          <w:rFonts w:ascii="Times New Roman" w:hAnsi="Times New Roman"/>
          <w:b w:val="false"/>
          <w:sz w:val="28"/>
          <w:szCs w:val="28"/>
        </w:rPr>
      </w:r>
      <w:r/>
    </w:p>
    <w:p>
      <w:pPr>
        <w:pStyle w:val="406"/>
        <w:ind w:firstLine="709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7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Настоящий доклад</w:t>
      </w:r>
      <w:r>
        <w:rPr>
          <w:color w:val="000000"/>
          <w:sz w:val="28"/>
          <w:szCs w:val="28"/>
        </w:rPr>
        <w:t xml:space="preserve"> подготовлен управлением рынка продовольствия и лицензирования </w:t>
      </w:r>
      <w:r>
        <w:rPr>
          <w:color w:val="000000"/>
          <w:sz w:val="28"/>
          <w:szCs w:val="28"/>
        </w:rPr>
        <w:t xml:space="preserve">Министерства сельского хозяйства Пензенской области (далее – Управле</w:t>
      </w:r>
      <w:r>
        <w:rPr>
          <w:sz w:val="28"/>
          <w:szCs w:val="28"/>
        </w:rPr>
        <w:t xml:space="preserve">ние, Министерство) в соответствии с полномочиями по осуществлению федерального государственного контроля (надзора) в области осуществления </w:t>
      </w:r>
      <w:r>
        <w:rPr>
          <w:bCs/>
          <w:sz w:val="28"/>
          <w:szCs w:val="28"/>
        </w:rPr>
        <w:t xml:space="preserve">деятельности по заготовке, хранению, переработке и реализации лома черных и цветных металлов на территории Пензенской области</w:t>
      </w:r>
      <w:r>
        <w:rPr>
          <w:sz w:val="28"/>
          <w:szCs w:val="28"/>
        </w:rPr>
        <w:t xml:space="preserve">  (далее – 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адзор).</w:t>
      </w:r>
      <w:r>
        <w:rPr>
          <w:color w:val="000000"/>
        </w:rPr>
      </w:r>
      <w:r/>
    </w:p>
    <w:p>
      <w:pPr>
        <w:pStyle w:val="1_760"/>
        <w:ind w:firstLine="709"/>
        <w:jc w:val="both"/>
        <w:rPr>
          <w:color w:val="000000"/>
        </w:rPr>
      </w:pPr>
      <w:r>
        <w:rPr>
          <w:sz w:val="28"/>
          <w:szCs w:val="28"/>
        </w:rPr>
        <w:t xml:space="preserve">Управление</w:t>
      </w:r>
      <w:r>
        <w:rPr>
          <w:sz w:val="28"/>
          <w:szCs w:val="28"/>
        </w:rPr>
        <w:t xml:space="preserve"> осуществляет свои полномочия </w:t>
      </w:r>
      <w:r>
        <w:rPr>
          <w:sz w:val="28"/>
          <w:szCs w:val="28"/>
        </w:rPr>
        <w:t xml:space="preserve">согласно пос</w:t>
      </w:r>
      <w:r>
        <w:rPr>
          <w:sz w:val="28"/>
          <w:szCs w:val="28"/>
        </w:rPr>
        <w:t xml:space="preserve">тановлению</w:t>
      </w:r>
      <w:r>
        <w:rPr>
          <w:sz w:val="28"/>
          <w:szCs w:val="28"/>
        </w:rPr>
        <w:t xml:space="preserve"> Правительства Пензенской области от </w:t>
      </w:r>
      <w:r>
        <w:rPr>
          <w:sz w:val="28"/>
          <w:szCs w:val="28"/>
        </w:rPr>
        <w:t xml:space="preserve">10.02.2009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99</w:t>
      </w:r>
      <w:r>
        <w:rPr>
          <w:sz w:val="28"/>
          <w:szCs w:val="28"/>
        </w:rPr>
        <w:t xml:space="preserve">-пП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Положения о</w:t>
      </w:r>
      <w:r>
        <w:rPr>
          <w:sz w:val="28"/>
          <w:szCs w:val="28"/>
        </w:rPr>
        <w:t xml:space="preserve"> Министерстве с</w:t>
      </w:r>
      <w:r>
        <w:rPr>
          <w:sz w:val="28"/>
          <w:szCs w:val="28"/>
        </w:rPr>
        <w:t xml:space="preserve">ельского хозяйства </w:t>
      </w:r>
      <w:r>
        <w:rPr>
          <w:sz w:val="28"/>
          <w:szCs w:val="28"/>
        </w:rPr>
        <w:t xml:space="preserve">Пензенской области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(с последующими изменениями)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</w:rPr>
      </w:r>
      <w:r/>
    </w:p>
    <w:p>
      <w:pPr>
        <w:pStyle w:val="1_7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Основными задачами Управления</w:t>
      </w:r>
      <w:r>
        <w:rPr>
          <w:color w:val="000000"/>
          <w:sz w:val="28"/>
          <w:szCs w:val="28"/>
        </w:rPr>
        <w:t xml:space="preserve"> являю</w:t>
      </w:r>
      <w:r>
        <w:rPr>
          <w:color w:val="000000"/>
          <w:sz w:val="28"/>
          <w:szCs w:val="28"/>
        </w:rPr>
        <w:t xml:space="preserve">тся предупреждение, выявление и пресечение нарушений юридическими лицами, индивидуальными предпринимателями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установленных </w:t>
      </w:r>
      <w:r>
        <w:rPr>
          <w:color w:val="000000"/>
          <w:sz w:val="28"/>
          <w:szCs w:val="28"/>
        </w:rPr>
        <w:t xml:space="preserve">законодательством Российской Федерации обязательных </w:t>
      </w:r>
      <w:r>
        <w:rPr>
          <w:color w:val="000000"/>
          <w:sz w:val="28"/>
          <w:szCs w:val="28"/>
        </w:rPr>
        <w:t xml:space="preserve">требований в процессе </w:t>
      </w:r>
      <w:r>
        <w:rPr>
          <w:sz w:val="28"/>
          <w:szCs w:val="28"/>
        </w:rPr>
        <w:t xml:space="preserve">осуществления </w:t>
      </w:r>
      <w:r>
        <w:rPr>
          <w:bCs/>
          <w:sz w:val="28"/>
          <w:szCs w:val="28"/>
        </w:rPr>
        <w:t xml:space="preserve">деятельности по заготовке, хранению, переработке и реализации лома черных и цветных металлов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</w:rPr>
      </w:r>
      <w:r/>
    </w:p>
    <w:p>
      <w:pPr>
        <w:pStyle w:val="1_7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рамках осуществления Надзора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Управление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руководствуется следующими нормативн</w:t>
      </w:r>
      <w:r>
        <w:rPr>
          <w:color w:val="000000"/>
          <w:sz w:val="28"/>
          <w:szCs w:val="28"/>
        </w:rPr>
        <w:t xml:space="preserve">ыми правовыми</w:t>
      </w:r>
      <w:r>
        <w:rPr>
          <w:color w:val="000000"/>
          <w:sz w:val="28"/>
          <w:szCs w:val="28"/>
        </w:rPr>
        <w:t xml:space="preserve"> актами: </w:t>
      </w:r>
      <w:r>
        <w:rPr>
          <w:color w:val="000000"/>
          <w:sz w:val="28"/>
        </w:rPr>
      </w:r>
      <w:r/>
    </w:p>
    <w:p>
      <w:pPr>
        <w:pStyle w:val="1_760"/>
        <w:numPr>
          <w:ilvl w:val="0"/>
          <w:numId w:val="9"/>
        </w:numPr>
        <w:jc w:val="both"/>
      </w:pPr>
      <w:r>
        <w:rPr>
          <w:color w:val="000000"/>
          <w:sz w:val="28"/>
          <w:szCs w:val="28"/>
        </w:rPr>
        <w:t xml:space="preserve">постановлением Правительства Российской Федерации от 28.05.2022 </w:t>
        <w:br/>
        <w:t xml:space="preserve">№ 980</w:t>
      </w:r>
      <w:r>
        <w:rPr>
          <w:color w:val="000000"/>
          <w:sz w:val="28"/>
          <w:szCs w:val="28"/>
        </w:rPr>
        <w:t xml:space="preserve">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</w:t>
      </w:r>
      <w:r>
        <w:rPr>
          <w:color w:val="000000"/>
          <w:sz w:val="28"/>
          <w:szCs w:val="28"/>
          <w:lang w:val="en-US"/>
        </w:rPr>
        <w:t xml:space="preserve">;</w:t>
      </w:r>
      <w:r/>
      <w:r/>
    </w:p>
    <w:p>
      <w:pPr>
        <w:pStyle w:val="1_760"/>
        <w:numPr>
          <w:ilvl w:val="0"/>
          <w:numId w:val="9"/>
        </w:numPr>
        <w:jc w:val="both"/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постановление</w:t>
      </w:r>
      <w:r>
        <w:rPr>
          <w:sz w:val="28"/>
          <w:szCs w:val="28"/>
          <w:shd w:val="clear" w:color="auto" w:fill="FFFFFF"/>
        </w:rPr>
        <w:t xml:space="preserve">м</w:t>
      </w:r>
      <w:r>
        <w:rPr>
          <w:sz w:val="28"/>
          <w:szCs w:val="28"/>
          <w:shd w:val="clear" w:color="auto" w:fill="FFFFFF"/>
        </w:rPr>
        <w:t xml:space="preserve"> Правительства Росси</w:t>
      </w:r>
      <w:r>
        <w:rPr>
          <w:sz w:val="28"/>
          <w:szCs w:val="28"/>
          <w:shd w:val="clear" w:color="auto" w:fill="FFFFFF"/>
        </w:rPr>
        <w:t xml:space="preserve">йской Федерации от 10.03.2022  </w:t>
      </w:r>
      <w:r>
        <w:rPr>
          <w:sz w:val="28"/>
          <w:szCs w:val="28"/>
          <w:shd w:val="clear" w:color="auto" w:fill="FFFFFF"/>
        </w:rPr>
        <w:t xml:space="preserve">     </w:t>
      </w:r>
      <w:r>
        <w:rPr>
          <w:sz w:val="28"/>
          <w:szCs w:val="28"/>
          <w:shd w:val="clear" w:color="auto" w:fill="FFFFFF"/>
        </w:rPr>
        <w:t xml:space="preserve">№ </w:t>
      </w:r>
      <w:r>
        <w:rPr>
          <w:sz w:val="28"/>
          <w:szCs w:val="28"/>
          <w:shd w:val="clear" w:color="auto" w:fill="FFFFFF"/>
        </w:rPr>
        <w:t xml:space="preserve">336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«Об особенностях организации и осуществления государственного контроля (надзора), муниципального контроля»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далее – Постановление № 336)</w:t>
      </w:r>
      <w:r>
        <w:rPr>
          <w:sz w:val="28"/>
          <w:szCs w:val="28"/>
          <w:shd w:val="clear" w:color="auto" w:fill="FFFFFF"/>
        </w:rPr>
        <w:t xml:space="preserve">;</w:t>
      </w:r>
      <w:r/>
      <w:r/>
    </w:p>
    <w:p>
      <w:pPr>
        <w:pStyle w:val="1_760"/>
        <w:numPr>
          <w:ilvl w:val="0"/>
          <w:numId w:val="10"/>
        </w:numPr>
        <w:jc w:val="both"/>
        <w:rPr>
          <w:lang w:val="en-US"/>
        </w:rPr>
      </w:pPr>
      <w:r>
        <w:rPr>
          <w:sz w:val="28"/>
          <w:szCs w:val="28"/>
          <w:lang w:val="ru-RU"/>
        </w:rPr>
        <w:t xml:space="preserve">п</w:t>
      </w:r>
      <w:r>
        <w:rPr>
          <w:sz w:val="28"/>
          <w:szCs w:val="28"/>
          <w:lang w:val="en-US"/>
        </w:rPr>
        <w:t xml:space="preserve">остановление</w:t>
      </w:r>
      <w:r>
        <w:rPr>
          <w:sz w:val="28"/>
          <w:szCs w:val="28"/>
          <w:lang w:val="ru-RU"/>
        </w:rPr>
        <w:t xml:space="preserve">м</w:t>
      </w:r>
      <w:r>
        <w:rPr>
          <w:sz w:val="28"/>
          <w:szCs w:val="28"/>
          <w:lang w:val="en-US"/>
        </w:rPr>
        <w:t xml:space="preserve"> Правительства Р</w:t>
      </w:r>
      <w:r>
        <w:rPr>
          <w:sz w:val="28"/>
          <w:szCs w:val="28"/>
          <w:lang w:val="ru-RU"/>
        </w:rPr>
        <w:t xml:space="preserve">оссийской </w:t>
      </w:r>
      <w:r>
        <w:rPr>
          <w:sz w:val="28"/>
          <w:szCs w:val="28"/>
          <w:lang w:val="en-US"/>
        </w:rPr>
        <w:t xml:space="preserve">Ф</w:t>
      </w:r>
      <w:r>
        <w:rPr>
          <w:sz w:val="28"/>
          <w:szCs w:val="28"/>
          <w:lang w:val="ru-RU"/>
        </w:rPr>
        <w:t xml:space="preserve">едерации</w:t>
      </w:r>
      <w:r>
        <w:rPr>
          <w:sz w:val="28"/>
          <w:szCs w:val="28"/>
          <w:lang w:val="en-US"/>
        </w:rPr>
        <w:t xml:space="preserve"> от 29.12.2020 </w:t>
        <w:br/>
      </w:r>
      <w:r>
        <w:rPr>
          <w:sz w:val="28"/>
          <w:szCs w:val="28"/>
          <w:lang w:val="ru-RU"/>
        </w:rPr>
        <w:t xml:space="preserve">№</w:t>
      </w:r>
      <w:r>
        <w:rPr>
          <w:sz w:val="28"/>
          <w:szCs w:val="28"/>
          <w:lang w:val="en-US"/>
        </w:rPr>
        <w:t xml:space="preserve"> 2343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«</w:t>
      </w:r>
      <w:r>
        <w:rPr>
          <w:sz w:val="28"/>
          <w:szCs w:val="28"/>
          <w:lang w:val="en-US"/>
        </w:rPr>
        <w:t xml:space="preserve">Об утверждении Правил формирования и ведения реестра лицензий 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 xml:space="preserve">типовой формы выписки из реестра лицензий</w:t>
      </w:r>
      <w:r>
        <w:rPr>
          <w:sz w:val="28"/>
          <w:szCs w:val="28"/>
          <w:lang w:val="ru-RU"/>
        </w:rPr>
        <w:t xml:space="preserve">»</w:t>
      </w:r>
      <w:r>
        <w:rPr>
          <w:sz w:val="28"/>
          <w:szCs w:val="28"/>
          <w:lang w:val="en-US"/>
        </w:rPr>
        <w:t xml:space="preserve">;</w:t>
      </w:r>
      <w:r>
        <w:rPr>
          <w:lang w:val="en-US"/>
        </w:rPr>
      </w:r>
      <w:r/>
    </w:p>
    <w:p>
      <w:pPr>
        <w:pStyle w:val="1_760"/>
        <w:numPr>
          <w:ilvl w:val="0"/>
          <w:numId w:val="11"/>
        </w:numPr>
        <w:jc w:val="both"/>
        <w:rPr>
          <w:color w:val="000000"/>
          <w:lang w:val="en-US"/>
        </w:rPr>
      </w:pPr>
      <w:r>
        <w:rPr>
          <w:color w:val="000000"/>
          <w:sz w:val="28"/>
          <w:szCs w:val="28"/>
          <w:lang w:val="ru-RU"/>
        </w:rPr>
        <w:t xml:space="preserve">п</w:t>
      </w:r>
      <w:r>
        <w:rPr>
          <w:color w:val="000000"/>
          <w:sz w:val="28"/>
          <w:szCs w:val="28"/>
          <w:lang w:val="en-US"/>
        </w:rPr>
        <w:t xml:space="preserve">риказ</w:t>
      </w:r>
      <w:r>
        <w:rPr>
          <w:color w:val="000000"/>
          <w:sz w:val="28"/>
          <w:szCs w:val="28"/>
          <w:lang w:val="ru-RU"/>
        </w:rPr>
        <w:t xml:space="preserve">ом</w:t>
      </w:r>
      <w:r>
        <w:rPr>
          <w:color w:val="000000"/>
          <w:sz w:val="28"/>
          <w:szCs w:val="28"/>
          <w:lang w:val="en-US"/>
        </w:rPr>
        <w:t xml:space="preserve"> Мин</w:t>
      </w:r>
      <w:r>
        <w:rPr>
          <w:color w:val="000000"/>
          <w:sz w:val="28"/>
          <w:szCs w:val="28"/>
          <w:lang w:val="ru-RU"/>
        </w:rPr>
        <w:t xml:space="preserve">истерства промышленности и торговли</w:t>
      </w:r>
      <w:r>
        <w:rPr>
          <w:color w:val="000000"/>
          <w:sz w:val="28"/>
          <w:szCs w:val="28"/>
          <w:lang w:val="en-US"/>
        </w:rPr>
        <w:t xml:space="preserve"> России </w:t>
        <w:br/>
        <w:t xml:space="preserve">от 21.01.2021 </w:t>
      </w:r>
      <w:r>
        <w:rPr>
          <w:color w:val="000000"/>
          <w:sz w:val="28"/>
          <w:szCs w:val="28"/>
          <w:lang w:val="ru-RU"/>
        </w:rPr>
        <w:t xml:space="preserve">№</w:t>
      </w:r>
      <w:r>
        <w:rPr>
          <w:color w:val="000000"/>
          <w:sz w:val="28"/>
          <w:szCs w:val="28"/>
          <w:lang w:val="en-US"/>
        </w:rPr>
        <w:t xml:space="preserve"> 106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«</w:t>
      </w:r>
      <w:r>
        <w:rPr>
          <w:color w:val="000000"/>
          <w:sz w:val="28"/>
          <w:szCs w:val="28"/>
          <w:lang w:val="en-US"/>
        </w:rPr>
        <w:t xml:space="preserve">Об утверждении перечня нормативных правовых актов (их отдельных положений), содержащих обязательные требования, оценка соблюдения которых осуществляется в рамках предоставления лицензий на деятельность по заготовке, хранению, переработке и реализации лома </w:t>
      </w:r>
      <w:r>
        <w:rPr>
          <w:color w:val="000000"/>
          <w:sz w:val="28"/>
          <w:szCs w:val="28"/>
          <w:lang w:val="en-US"/>
        </w:rPr>
        <w:t xml:space="preserve">черных и цветных металлов</w:t>
      </w:r>
      <w:r>
        <w:rPr>
          <w:color w:val="000000"/>
          <w:sz w:val="28"/>
          <w:szCs w:val="28"/>
          <w:lang w:val="ru-RU"/>
        </w:rPr>
        <w:t xml:space="preserve">»</w:t>
      </w:r>
      <w:r>
        <w:rPr>
          <w:color w:val="000000"/>
          <w:sz w:val="28"/>
          <w:szCs w:val="28"/>
          <w:lang w:val="en-US"/>
        </w:rPr>
        <w:t xml:space="preserve">;</w:t>
      </w:r>
      <w:r>
        <w:rPr>
          <w:color w:val="000000"/>
          <w:lang w:val="en-US"/>
        </w:rPr>
      </w:r>
      <w:r/>
    </w:p>
    <w:p>
      <w:pPr>
        <w:pStyle w:val="1_760"/>
        <w:numPr>
          <w:ilvl w:val="0"/>
          <w:numId w:val="13"/>
        </w:numPr>
        <w:jc w:val="both"/>
        <w:rPr>
          <w:lang w:val="en-US"/>
        </w:rPr>
      </w:pPr>
      <w:r>
        <w:rPr>
          <w:sz w:val="28"/>
          <w:szCs w:val="28"/>
          <w:lang w:val="en-US"/>
        </w:rPr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приказом Министерства промышленности и торговли Российской Федерации от 22.02.2022 № 508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«Об ут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верждении индикативных показателей, применяемых при осуществлении федерального государственного лицензионного контроля (надзора) за деятельностью по заготовке, хранению, переработке и реализации лома черных и цветных металлов»</w:t>
      </w:r>
      <w:r>
        <w:rPr>
          <w:rFonts w:ascii="Times New Roman" w:hAnsi="Times New Roman" w:cs="Times New Roman" w:eastAsia="Times New Roman"/>
          <w:sz w:val="28"/>
          <w:szCs w:val="28"/>
          <w:lang w:val="en-US"/>
        </w:rPr>
        <w:t xml:space="preserve">;</w:t>
      </w:r>
      <w:r>
        <w:rPr>
          <w:lang w:val="en-US"/>
        </w:rPr>
      </w:r>
      <w:r/>
    </w:p>
    <w:p>
      <w:pPr>
        <w:pStyle w:val="1_760"/>
        <w:numPr>
          <w:ilvl w:val="0"/>
          <w:numId w:val="9"/>
        </w:numPr>
        <w:jc w:val="both"/>
        <w:rPr>
          <w:lang w:val="en-US"/>
        </w:rPr>
      </w:pPr>
      <w:r>
        <w:rPr>
          <w:sz w:val="28"/>
          <w:szCs w:val="28"/>
          <w:lang w:val="ru-RU"/>
        </w:rPr>
        <w:t xml:space="preserve">п</w:t>
      </w:r>
      <w:hyperlink r:id="rId9" w:tooltip="https://mcx.pnzreg.ru/all/%E2%84%96%202409%20%D0%BE%D1%82%2030.06.2023.rtf" w:history="1">
        <w:r>
          <w:rPr>
            <w:sz w:val="28"/>
            <w:lang w:val="en-US"/>
          </w:rPr>
          <w:t xml:space="preserve">риказ</w:t>
        </w:r>
        <w:r>
          <w:rPr>
            <w:sz w:val="28"/>
            <w:lang w:val="ru-RU"/>
          </w:rPr>
          <w:t xml:space="preserve">ом</w:t>
        </w:r>
        <w:r>
          <w:rPr>
            <w:sz w:val="28"/>
            <w:lang w:val="en-US"/>
          </w:rPr>
          <w:t xml:space="preserve"> Министерства </w:t>
        </w:r>
      </w:hyperlink>
      <w:r/>
      <w:hyperlink r:id="rId10" w:tooltip="https://mcx.pnzreg.ru/all/%E2%84%96%202409%20%D0%BE%D1%82%2030.06.2023.rtf" w:history="1">
        <w:r>
          <w:rPr>
            <w:sz w:val="28"/>
            <w:lang w:val="en-US"/>
          </w:rPr>
          <w:t xml:space="preserve">промышленности и торговли Российской Федерации </w:t>
        </w:r>
      </w:hyperlink>
      <w:r/>
      <w:hyperlink r:id="rId11" w:tooltip="https://mcx.pnzreg.ru/all/%E2%84%96%202409%20%D0%BE%D1%82%2030.06.2023.rtf" w:history="1">
        <w:r>
          <w:rPr>
            <w:sz w:val="28"/>
            <w:lang w:val="en-US"/>
          </w:rPr>
          <w:t xml:space="preserve">от</w:t>
        </w:r>
        <w:r>
          <w:rPr>
            <w:sz w:val="28"/>
            <w:lang w:val="ru-RU"/>
          </w:rPr>
          <w:t xml:space="preserve"> </w:t>
        </w:r>
        <w:r>
          <w:rPr>
            <w:sz w:val="28"/>
            <w:lang w:val="en-US"/>
          </w:rPr>
          <w:t xml:space="preserve">30</w:t>
        </w:r>
        <w:r>
          <w:rPr>
            <w:sz w:val="28"/>
            <w:lang w:val="ru-RU"/>
          </w:rPr>
          <w:t xml:space="preserve">.06</w:t>
        </w:r>
        <w:r>
          <w:rPr>
            <w:sz w:val="28"/>
            <w:lang w:val="ru-RU"/>
          </w:rPr>
          <w:t xml:space="preserve">.</w:t>
        </w:r>
        <w:r>
          <w:rPr>
            <w:sz w:val="28"/>
            <w:lang w:val="en-US"/>
          </w:rPr>
          <w:t xml:space="preserve">2023 № 2409 «Об утверждении перечня </w:t>
        </w:r>
      </w:hyperlink>
      <w:r/>
      <w:hyperlink r:id="rId12" w:tooltip="https://mcx.pnzreg.ru/all/%E2%84%96%202409%20%D0%BE%D1%82%2030.06.2023.rtf" w:history="1">
        <w:r>
          <w:rPr>
            <w:sz w:val="28"/>
            <w:lang w:val="en-US"/>
          </w:rPr>
          <w:t xml:space="preserve">индикаторов риска нарушения обязательных требований </w:t>
        </w:r>
      </w:hyperlink>
      <w:r/>
      <w:hyperlink r:id="rId13" w:tooltip="https://mcx.pnzreg.ru/all/%E2%84%96%202409%20%D0%BE%D1%82%2030.06.2023.rtf" w:history="1">
        <w:r>
          <w:rPr>
            <w:sz w:val="28"/>
            <w:lang w:val="en-US"/>
          </w:rPr>
          <w:t xml:space="preserve">при осуществлении федерального государственного </w:t>
        </w:r>
      </w:hyperlink>
      <w:r/>
      <w:hyperlink r:id="rId14" w:tooltip="https://mcx.pnzreg.ru/all/%E2%84%96%202409%20%D0%BE%D1%82%2030.06.2023.rtf" w:history="1">
        <w:r>
          <w:rPr>
            <w:sz w:val="28"/>
            <w:lang w:val="en-US"/>
          </w:rPr>
          <w:t xml:space="preserve">лицензионного контроля (надзора) за деятельностью </w:t>
        </w:r>
      </w:hyperlink>
      <w:r/>
      <w:hyperlink r:id="rId15" w:tooltip="https://mcx.pnzreg.ru/all/%E2%84%96%202409%20%D0%BE%D1%82%2030.06.2023.rtf" w:history="1">
        <w:r>
          <w:rPr>
            <w:sz w:val="28"/>
            <w:lang w:val="en-US"/>
          </w:rPr>
          <w:t xml:space="preserve">по заготовке, хранению, переработке и реализации </w:t>
        </w:r>
      </w:hyperlink>
      <w:r/>
      <w:hyperlink r:id="rId16" w:tooltip="https://mcx.pnzreg.ru/all/%E2%84%96%202409%20%D0%BE%D1%82%2030.06.2023.rtf" w:history="1">
        <w:r>
          <w:rPr>
            <w:sz w:val="28"/>
            <w:lang w:val="en-US"/>
          </w:rPr>
          <w:t xml:space="preserve">лома черных и цветных металлов»</w:t>
        </w:r>
      </w:hyperlink>
      <w:r>
        <w:rPr>
          <w:sz w:val="28"/>
          <w:szCs w:val="28"/>
          <w:lang w:val="en-US"/>
        </w:rPr>
        <w:t xml:space="preserve">;</w:t>
      </w:r>
      <w:r>
        <w:rPr>
          <w:sz w:val="28"/>
          <w:szCs w:val="28"/>
          <w:lang w:val="en-US"/>
        </w:rPr>
      </w:r>
      <w:r/>
    </w:p>
    <w:p>
      <w:pPr>
        <w:pStyle w:val="1_760"/>
        <w:numPr>
          <w:ilvl w:val="0"/>
          <w:numId w:val="12"/>
        </w:numPr>
        <w:jc w:val="both"/>
        <w:rPr>
          <w:color w:val="000000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lang w:val="ru-RU"/>
        </w:rPr>
        <w:t xml:space="preserve">п</w:t>
      </w:r>
      <w:r>
        <w:rPr>
          <w:sz w:val="28"/>
          <w:lang w:val="en-US"/>
        </w:rPr>
        <w:t xml:space="preserve">остановление</w:t>
      </w:r>
      <w:r>
        <w:rPr>
          <w:sz w:val="28"/>
          <w:lang w:val="ru-RU"/>
        </w:rPr>
        <w:t xml:space="preserve">м</w:t>
      </w:r>
      <w:r>
        <w:rPr>
          <w:sz w:val="28"/>
          <w:lang w:val="en-US"/>
        </w:rPr>
        <w:t xml:space="preserve"> Правительства Пензенской обл</w:t>
      </w:r>
      <w:r>
        <w:rPr>
          <w:sz w:val="28"/>
          <w:lang w:val="ru-RU"/>
        </w:rPr>
        <w:t xml:space="preserve">асти</w:t>
      </w:r>
      <w:r>
        <w:rPr>
          <w:sz w:val="28"/>
          <w:lang w:val="en-US"/>
        </w:rPr>
        <w:t xml:space="preserve"> от 12.02.2025 </w:t>
        <w:br/>
        <w:t xml:space="preserve">№ 157-пП </w:t>
      </w:r>
      <w:r>
        <w:rPr>
          <w:sz w:val="28"/>
          <w:lang w:val="en-US"/>
        </w:rPr>
        <w:t xml:space="preserve">«</w:t>
      </w:r>
      <w:r>
        <w:rPr>
          <w:sz w:val="28"/>
          <w:lang w:val="ru-RU"/>
        </w:rPr>
        <w:t xml:space="preserve">О</w:t>
      </w:r>
      <w:r>
        <w:rPr>
          <w:sz w:val="28"/>
          <w:lang w:val="en-US"/>
        </w:rPr>
        <w:t xml:space="preserve">б утверждении перечня лома и отходов цветных металлов, </w:t>
      </w:r>
      <w:r>
        <w:rPr>
          <w:sz w:val="28"/>
          <w:lang w:val="en-US"/>
        </w:rPr>
      </w:r>
      <w:hyperlink r:id="rId17" w:tooltip="https://mcx.pnzreg.ru/all/157%20(2).rtf" w:history="1">
        <w:r>
          <w:rPr>
            <w:sz w:val="28"/>
            <w:lang w:val="en-US"/>
          </w:rPr>
          <w:t xml:space="preserve">образующихся в быту и разрешенных для приема </w:t>
        </w:r>
      </w:hyperlink>
      <w:r>
        <w:rPr>
          <w:sz w:val="28"/>
          <w:lang w:val="en-US"/>
        </w:rPr>
      </w:r>
      <w:hyperlink r:id="rId18" w:tooltip="https://mcx.pnzreg.ru/all/157%20(2).rtf" w:history="1">
        <w:r>
          <w:rPr>
            <w:sz w:val="28"/>
            <w:lang w:val="en-US"/>
          </w:rPr>
          <w:t xml:space="preserve">от физических лиц</w:t>
        </w:r>
        <w:r>
          <w:rPr>
            <w:sz w:val="28"/>
            <w:lang w:val="en-US"/>
          </w:rPr>
          <w:t xml:space="preserve">»</w:t>
        </w:r>
      </w:hyperlink>
      <w:r>
        <w:rPr>
          <w:sz w:val="28"/>
          <w:szCs w:val="28"/>
          <w:lang w:val="en-US"/>
        </w:rPr>
        <w:t xml:space="preserve">;</w:t>
      </w:r>
      <w:r>
        <w:rPr>
          <w:color w:val="000000"/>
          <w:lang w:val="en-US"/>
        </w:rPr>
      </w:r>
      <w:r/>
    </w:p>
    <w:p>
      <w:pPr>
        <w:pStyle w:val="1_760"/>
        <w:numPr>
          <w:ilvl w:val="0"/>
          <w:numId w:val="9"/>
        </w:numPr>
        <w:jc w:val="both"/>
      </w:pPr>
      <w:r>
        <w:rPr>
          <w:sz w:val="28"/>
          <w:szCs w:val="28"/>
          <w:lang w:val="ru-RU"/>
        </w:rPr>
        <w:t xml:space="preserve">п</w:t>
      </w:r>
      <w:r>
        <w:rPr>
          <w:sz w:val="28"/>
          <w:szCs w:val="28"/>
          <w:lang w:val="en-US"/>
        </w:rPr>
        <w:t xml:space="preserve">риказ</w:t>
      </w:r>
      <w:r>
        <w:rPr>
          <w:sz w:val="28"/>
          <w:szCs w:val="28"/>
          <w:lang w:val="ru-RU"/>
        </w:rPr>
        <w:t xml:space="preserve">ом</w:t>
      </w:r>
      <w:r>
        <w:rPr>
          <w:sz w:val="28"/>
          <w:szCs w:val="28"/>
          <w:lang w:val="en-US"/>
        </w:rPr>
        <w:t xml:space="preserve"> Мин</w:t>
      </w:r>
      <w:r>
        <w:rPr>
          <w:sz w:val="28"/>
          <w:szCs w:val="28"/>
          <w:lang w:val="ru-RU"/>
        </w:rPr>
        <w:t xml:space="preserve">истерства сельского хозяйства</w:t>
      </w:r>
      <w:r>
        <w:rPr>
          <w:sz w:val="28"/>
          <w:szCs w:val="28"/>
          <w:lang w:val="en-US"/>
        </w:rPr>
        <w:t xml:space="preserve"> Пензенской обл</w:t>
      </w:r>
      <w:r>
        <w:rPr>
          <w:sz w:val="28"/>
          <w:szCs w:val="28"/>
          <w:lang w:val="ru-RU"/>
        </w:rPr>
        <w:t xml:space="preserve">асти</w:t>
      </w:r>
      <w:r>
        <w:rPr>
          <w:sz w:val="28"/>
          <w:szCs w:val="28"/>
          <w:lang w:val="en-US"/>
        </w:rPr>
        <w:t xml:space="preserve"> от 19.12.2018 </w:t>
      </w:r>
      <w:r>
        <w:rPr>
          <w:sz w:val="28"/>
          <w:szCs w:val="28"/>
          <w:lang w:val="ru-RU"/>
        </w:rPr>
        <w:t xml:space="preserve">№</w:t>
      </w:r>
      <w:r>
        <w:rPr>
          <w:sz w:val="28"/>
          <w:szCs w:val="28"/>
          <w:lang w:val="en-US"/>
        </w:rPr>
        <w:t xml:space="preserve"> 638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«</w:t>
      </w:r>
      <w:r>
        <w:rPr>
          <w:sz w:val="28"/>
          <w:szCs w:val="28"/>
          <w:lang w:val="en-US"/>
        </w:rPr>
        <w:t xml:space="preserve">Об утверждении форм документов, используемых Министерством сельского хозяйства Пензенской области в процессе лицензирования деятельности по заготовке, переработке, хранению и реализации лома черных и цветных металлов</w:t>
      </w:r>
      <w:r>
        <w:rPr>
          <w:sz w:val="28"/>
          <w:szCs w:val="28"/>
          <w:lang w:val="ru-RU"/>
        </w:rPr>
        <w:t xml:space="preserve">»</w:t>
      </w:r>
      <w:r>
        <w:rPr>
          <w:sz w:val="28"/>
          <w:szCs w:val="28"/>
          <w:lang w:val="ru-RU"/>
        </w:rPr>
        <w:t xml:space="preserve">.</w:t>
      </w:r>
      <w:r/>
      <w:r/>
    </w:p>
    <w:p>
      <w:pPr>
        <w:pStyle w:val="1_760"/>
        <w:jc w:val="both"/>
        <w:rPr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/>
    </w:p>
    <w:p>
      <w:pPr>
        <w:pStyle w:val="1_760"/>
        <w:ind w:firstLine="709"/>
        <w:jc w:val="both"/>
        <w:rPr>
          <w:color w:val="000000"/>
        </w:rPr>
      </w:pPr>
      <w:r>
        <w:rPr>
          <w:sz w:val="28"/>
          <w:szCs w:val="28"/>
        </w:rPr>
        <w:t xml:space="preserve">Предметом Надзора является</w:t>
      </w:r>
      <w:r>
        <w:rPr>
          <w:sz w:val="28"/>
        </w:rPr>
        <w:t xml:space="preserve"> соблюдение юридическими лицами и индивидуальными предпринимателями, осуществляющими деятельность по заготовке, хранению, переработке и реализации лома черных и цветных металлов, за исключением деятельности по реализ</w:t>
      </w:r>
      <w:r>
        <w:rPr>
          <w:sz w:val="28"/>
        </w:rPr>
        <w:t xml:space="preserve">ации лома черных и цветных металлов, образовавшегося у юридических лиц и индивидуальных предпринимателей в процессе собственного производства, лицензионных требований,</w:t>
      </w:r>
      <w:r>
        <w:rPr>
          <w:color w:val="000000"/>
          <w:sz w:val="28"/>
        </w:rPr>
      </w:r>
      <w:r/>
    </w:p>
    <w:p>
      <w:pPr>
        <w:ind w:firstLine="0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760"/>
        <w:ind w:firstLine="709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Цели и задачи обобщения и анали</w:t>
      </w:r>
      <w:r>
        <w:rPr>
          <w:b/>
          <w:bCs/>
          <w:color w:val="000000"/>
          <w:sz w:val="28"/>
          <w:szCs w:val="28"/>
        </w:rPr>
        <w:t xml:space="preserve">за </w:t>
      </w:r>
      <w:r>
        <w:rPr>
          <w:color w:val="000000"/>
        </w:rPr>
      </w:r>
      <w:r/>
    </w:p>
    <w:p>
      <w:pPr>
        <w:pStyle w:val="1_760"/>
        <w:ind w:firstLine="709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правоприменительной практики</w:t>
      </w:r>
      <w:r>
        <w:rPr>
          <w:color w:val="000000"/>
        </w:rPr>
      </w:r>
      <w:r/>
    </w:p>
    <w:p>
      <w:pPr>
        <w:pStyle w:val="1_760"/>
        <w:ind w:firstLine="709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</w:r>
      <w:r>
        <w:rPr>
          <w:color w:val="000000"/>
        </w:rPr>
      </w:r>
      <w:r/>
    </w:p>
    <w:p>
      <w:pPr>
        <w:pStyle w:val="1_7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Целями обобщения и анализа правоприменительной практики являются: </w:t>
      </w:r>
      <w:r>
        <w:rPr>
          <w:color w:val="000000"/>
        </w:rPr>
      </w:r>
      <w:r/>
    </w:p>
    <w:p>
      <w:pPr>
        <w:pStyle w:val="1_7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обеспечение единства практики применения Управлением </w:t>
      </w:r>
      <w:r>
        <w:rPr>
          <w:color w:val="000000"/>
          <w:sz w:val="28"/>
          <w:szCs w:val="28"/>
        </w:rPr>
        <w:t xml:space="preserve">федеральных законов и иных нормативных правовых актов Российской Федерации, законов </w:t>
      </w:r>
      <w:r>
        <w:rPr>
          <w:color w:val="000000"/>
          <w:sz w:val="28"/>
          <w:szCs w:val="28"/>
        </w:rPr>
        <w:t xml:space="preserve">Пензенской области</w:t>
      </w:r>
      <w:r>
        <w:rPr>
          <w:color w:val="000000"/>
          <w:sz w:val="28"/>
          <w:szCs w:val="28"/>
        </w:rPr>
        <w:t xml:space="preserve"> и иных нормативных правовых актов </w:t>
      </w:r>
      <w:r>
        <w:rPr>
          <w:color w:val="000000"/>
          <w:sz w:val="28"/>
          <w:szCs w:val="28"/>
        </w:rPr>
        <w:t xml:space="preserve">Пензенской области</w:t>
      </w:r>
      <w:r>
        <w:rPr>
          <w:color w:val="000000"/>
          <w:sz w:val="28"/>
          <w:szCs w:val="28"/>
        </w:rPr>
        <w:t xml:space="preserve">, нормативных правовых актов органов местного самоуправления, иных нормативных документов, обязательность применения которых установлена законодательством Российской Федерации (далее - обязательные требования); </w:t>
      </w:r>
      <w:r>
        <w:rPr>
          <w:color w:val="000000"/>
        </w:rPr>
      </w:r>
      <w:r/>
    </w:p>
    <w:p>
      <w:pPr>
        <w:pStyle w:val="1_7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обеспечение доступности сведений о правоприменительной практике </w:t>
      </w:r>
      <w:r>
        <w:rPr>
          <w:color w:val="000000"/>
          <w:sz w:val="28"/>
          <w:szCs w:val="28"/>
        </w:rPr>
        <w:t xml:space="preserve">Управлением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путем их публикации для сведения подконтрольных субъектов; </w:t>
      </w:r>
      <w:r>
        <w:rPr>
          <w:color w:val="000000"/>
        </w:rPr>
      </w:r>
      <w:r/>
    </w:p>
    <w:p>
      <w:pPr>
        <w:pStyle w:val="1_76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снижение количества нарушений обязательных требований и повышение уровня защищенности охраняемых законом ценностей за счет обеспечения информированности </w:t>
      </w:r>
      <w:r>
        <w:rPr>
          <w:color w:val="000000"/>
          <w:sz w:val="28"/>
          <w:szCs w:val="28"/>
        </w:rPr>
        <w:t xml:space="preserve">контролируемых лиц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 практике применения обязательных требований; </w:t>
      </w:r>
      <w:r>
        <w:rPr>
          <w:color w:val="000000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повышение уровня защищенности охраняемых законом ценностей в сферах производства или оказания услуг за счет обеспечения соблюдения обязательных требований; </w:t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совершенствование нормативных правовых актов для устранения устаревших, дублирующих и избыточных обязательных требований, устранения избыточных контрольно-надзорных функций. </w:t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Задачами обобщения и анализа правоприменительной практики являются: </w:t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выявление проблемных вопросов применения Управлением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обязательных требований; </w:t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выработка с привлечением широкого круга заинтересованных лиц оптимальных решений проблемных вопросов правоприменительной практики и их реализация; </w:t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выявление устаревших, дублирующих и избыточных обязательных требований, подготовка и внесение предложений по их устранению; </w:t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выявление избыточных контрольно-надзорных функций, подготовка и внесение предложений по их устранению; </w:t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подготовка предложений по совершенствованию законодательства; </w:t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выявление типичных нарушений обязательных требований и подготовка предложений по реализации профилактических мероприятий для их предупреждения. </w:t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Доклад по правоприменительной практике </w:t>
      </w:r>
      <w:r>
        <w:rPr>
          <w:rFonts w:eastAsia="Calibri"/>
          <w:sz w:val="28"/>
          <w:szCs w:val="28"/>
          <w:lang w:eastAsia="en-US"/>
        </w:rPr>
        <w:t xml:space="preserve">Надзора</w:t>
      </w:r>
      <w:r>
        <w:rPr>
          <w:rFonts w:eastAsia="Calibri"/>
          <w:sz w:val="28"/>
          <w:szCs w:val="28"/>
          <w:lang w:eastAsia="en-US"/>
        </w:rPr>
        <w:t xml:space="preserve"> включает в себя: </w:t>
      </w:r>
      <w:r/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общие положения; </w:t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цели и задачи обобщения и анализа правоприменительной практики; </w:t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правоприменительная практика организации и проведения Надзора;</w:t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заключительные положения.</w:t>
      </w:r>
      <w:r>
        <w:rPr>
          <w:rFonts w:eastAsia="Calibri"/>
          <w:lang w:eastAsia="en-US"/>
        </w:rPr>
      </w:r>
      <w:r/>
    </w:p>
    <w:p>
      <w:pPr>
        <w:pStyle w:val="1_761"/>
        <w:jc w:val="center"/>
        <w:rPr>
          <w:rFonts w:eastAsia="Calibri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lang w:eastAsia="en-US"/>
        </w:rPr>
      </w:r>
      <w:r/>
    </w:p>
    <w:p>
      <w:pPr>
        <w:pStyle w:val="1_761"/>
        <w:jc w:val="center"/>
        <w:rPr>
          <w:rFonts w:eastAsia="Calibri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Правоприменительная практика </w:t>
      </w:r>
      <w:r>
        <w:rPr>
          <w:rFonts w:eastAsia="Calibri"/>
          <w:b/>
          <w:sz w:val="28"/>
          <w:szCs w:val="28"/>
          <w:lang w:eastAsia="en-US"/>
        </w:rPr>
      </w:r>
      <w:r/>
    </w:p>
    <w:p>
      <w:pPr>
        <w:pStyle w:val="1_761"/>
        <w:jc w:val="center"/>
        <w:rPr>
          <w:rFonts w:eastAsia="Calibri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организации и проведения Надзора</w:t>
      </w:r>
      <w:r>
        <w:rPr>
          <w:rFonts w:eastAsia="Calibri"/>
          <w:lang w:eastAsia="en-US"/>
        </w:rPr>
      </w:r>
      <w:r/>
    </w:p>
    <w:p>
      <w:pPr>
        <w:pStyle w:val="1_761"/>
        <w:jc w:val="center"/>
        <w:rPr>
          <w:rFonts w:eastAsia="Calibri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lang w:eastAsia="en-US"/>
        </w:rPr>
      </w:r>
      <w:r/>
    </w:p>
    <w:p>
      <w:pPr>
        <w:pStyle w:val="1_761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202</w:t>
      </w:r>
      <w:r>
        <w:rPr>
          <w:rFonts w:eastAsia="Calibri"/>
          <w:sz w:val="28"/>
          <w:szCs w:val="28"/>
          <w:lang w:val="en-US"/>
        </w:rPr>
        <w:t xml:space="preserve">5</w:t>
      </w:r>
      <w:r>
        <w:rPr>
          <w:rFonts w:eastAsia="Calibri"/>
          <w:sz w:val="28"/>
          <w:szCs w:val="28"/>
          <w:lang w:eastAsia="en-US"/>
        </w:rPr>
        <w:t xml:space="preserve"> году контрольная (надзорная) работа </w:t>
      </w:r>
      <w:r>
        <w:rPr>
          <w:rFonts w:eastAsia="Calibri"/>
          <w:sz w:val="28"/>
          <w:szCs w:val="28"/>
          <w:lang w:eastAsia="en-US"/>
        </w:rPr>
        <w:t xml:space="preserve">Управления</w:t>
      </w:r>
      <w:r>
        <w:rPr>
          <w:rFonts w:eastAsia="Calibri"/>
          <w:sz w:val="28"/>
          <w:szCs w:val="28"/>
          <w:lang w:eastAsia="en-US"/>
        </w:rPr>
        <w:t xml:space="preserve"> стр</w:t>
      </w:r>
      <w:r>
        <w:rPr>
          <w:rFonts w:eastAsia="Calibri"/>
          <w:sz w:val="28"/>
          <w:szCs w:val="28"/>
          <w:lang w:eastAsia="en-US"/>
        </w:rPr>
        <w:t xml:space="preserve">оилась исходя из общефедеральных тенденций, направленных на многократное увеличение доли профилактики во всей работе надзорных органов и сокращение общего числа необоснованных контрольных (надзорных) мероприятий во взаимодействии с контролируемыми лицами. </w:t>
      </w:r>
      <w:r>
        <w:rPr>
          <w:rFonts w:eastAsia="Calibri"/>
          <w:sz w:val="28"/>
          <w:lang w:eastAsia="en-US"/>
        </w:rPr>
      </w:r>
      <w:r/>
    </w:p>
    <w:p>
      <w:pPr>
        <w:pStyle w:val="1_761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Меры административного реагирования стали практически неприменимы в связи с ограничениями, продиктованными </w:t>
      </w:r>
      <w:r>
        <w:rPr>
          <w:sz w:val="28"/>
          <w:szCs w:val="28"/>
        </w:rPr>
        <w:t xml:space="preserve">Постановлением № 336.</w:t>
      </w:r>
      <w:r/>
      <w:r/>
    </w:p>
    <w:p>
      <w:pPr>
        <w:pStyle w:val="1_761"/>
        <w:ind w:firstLine="709"/>
        <w:jc w:val="both"/>
      </w:pPr>
      <w:r>
        <w:rPr>
          <w:sz w:val="28"/>
          <w:szCs w:val="28"/>
        </w:rPr>
        <w:t xml:space="preserve">Учитывая вышеизложенное, отсутствие должных оснований на проведение внеплановых контрольных (надзорных) мероприятий (требований Прокуратуры РФ, сведений о </w:t>
      </w:r>
      <w:r>
        <w:rPr>
          <w:sz w:val="28"/>
          <w:szCs w:val="28"/>
          <w:shd w:val="clear" w:color="auto" w:fill="FFFFFF"/>
        </w:rPr>
        <w:t xml:space="preserve">непосредственной угрозе причинения вреда жизни и тяжкого вреда здоровью граждан, по фактам причинения вреда жизни и тяжкого вреда здоровью граждан)</w:t>
      </w:r>
      <w:r>
        <w:rPr>
          <w:sz w:val="28"/>
          <w:szCs w:val="28"/>
        </w:rPr>
        <w:t xml:space="preserve">, а также невозможность построения плановых проверок (отсутствие объектов, отнесенных к категориям чрезвычайно высокого и высокого риска) основой надзорной деятельности Управления в 202</w:t>
      </w:r>
      <w:r>
        <w:rPr>
          <w:sz w:val="28"/>
          <w:szCs w:val="28"/>
          <w:lang w:val="en-US"/>
        </w:rPr>
        <w:t xml:space="preserve">5</w:t>
      </w:r>
      <w:r>
        <w:rPr>
          <w:sz w:val="28"/>
          <w:szCs w:val="28"/>
        </w:rPr>
        <w:t xml:space="preserve"> году стала профилактическая работа.</w:t>
      </w:r>
      <w:r>
        <w:rPr>
          <w:sz w:val="28"/>
        </w:rPr>
      </w:r>
      <w:r/>
    </w:p>
    <w:p>
      <w:pPr>
        <w:pStyle w:val="1_761"/>
        <w:ind w:firstLine="709"/>
        <w:jc w:val="both"/>
      </w:pPr>
      <w:r>
        <w:rPr>
          <w:sz w:val="28"/>
          <w:szCs w:val="28"/>
        </w:rPr>
        <w:t xml:space="preserve">Управление при осуществлении Надзора проводило следующие профилактические мероприятия:</w:t>
      </w:r>
      <w:r/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информирование;</w:t>
      </w:r>
      <w:r>
        <w:rPr>
          <w:rFonts w:ascii="Times New Roman" w:hAnsi="Times New Roman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обобщение правоприменительной практики;</w:t>
      </w:r>
      <w:r>
        <w:rPr>
          <w:rFonts w:ascii="Times New Roman" w:hAnsi="Times New Roman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консультирование.</w:t>
      </w:r>
      <w:r>
        <w:rPr>
          <w:rFonts w:ascii="Times New Roman" w:hAnsi="Times New Roman"/>
        </w:rPr>
      </w:r>
      <w:r/>
    </w:p>
    <w:p>
      <w:pPr>
        <w:pStyle w:val="1_760"/>
        <w:ind w:firstLine="709"/>
        <w:jc w:val="both"/>
      </w:pPr>
      <w:r>
        <w:rPr>
          <w:sz w:val="28"/>
          <w:szCs w:val="28"/>
        </w:rPr>
        <w:t xml:space="preserve">В 202</w:t>
      </w:r>
      <w:r>
        <w:rPr>
          <w:sz w:val="28"/>
          <w:szCs w:val="28"/>
          <w:lang w:val="en-US"/>
        </w:rPr>
        <w:t xml:space="preserve">5</w:t>
      </w:r>
      <w:r>
        <w:rPr>
          <w:sz w:val="28"/>
          <w:szCs w:val="28"/>
        </w:rPr>
        <w:t xml:space="preserve"> году Управлением было проведено </w:t>
      </w:r>
      <w:r>
        <w:rPr>
          <w:sz w:val="28"/>
          <w:szCs w:val="28"/>
        </w:rPr>
        <w:t xml:space="preserve">1</w:t>
      </w:r>
      <w:r>
        <w:rPr>
          <w:sz w:val="28"/>
          <w:szCs w:val="28"/>
          <w:lang w:val="en-US"/>
        </w:rPr>
        <w:t xml:space="preserve">7</w:t>
      </w:r>
      <w:r>
        <w:rPr>
          <w:sz w:val="28"/>
          <w:szCs w:val="28"/>
        </w:rPr>
        <w:t xml:space="preserve"> консультаций.</w:t>
      </w:r>
      <w:r>
        <w:rPr>
          <w:sz w:val="28"/>
        </w:rPr>
      </w:r>
      <w:r/>
    </w:p>
    <w:p>
      <w:pPr>
        <w:pStyle w:val="1_760"/>
        <w:ind w:firstLine="708"/>
        <w:jc w:val="both"/>
      </w:pPr>
      <w:r>
        <w:rPr>
          <w:sz w:val="28"/>
          <w:szCs w:val="28"/>
        </w:rPr>
        <w:t xml:space="preserve">В рамках информирования на официальном сайте </w:t>
      </w:r>
      <w:r>
        <w:rPr>
          <w:sz w:val="28"/>
          <w:szCs w:val="28"/>
        </w:rPr>
        <w:t xml:space="preserve">Министерства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были размещены все необходимые материалы, касающиеся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адзор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а именно:</w:t>
      </w:r>
      <w:r>
        <w:rPr>
          <w:sz w:val="28"/>
          <w:szCs w:val="28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1) тексты нормативных правовых актов, регулирующих осуществление </w:t>
      </w:r>
      <w:r>
        <w:rPr>
          <w:rFonts w:ascii="Times New Roman" w:hAnsi="Times New Roman"/>
          <w:sz w:val="28"/>
          <w:szCs w:val="28"/>
        </w:rPr>
        <w:t xml:space="preserve">Надзора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2) перечень нормативных правовых актов с указа</w:t>
      </w:r>
      <w:r>
        <w:rPr>
          <w:rFonts w:ascii="Times New Roman" w:hAnsi="Times New Roman"/>
          <w:sz w:val="28"/>
          <w:szCs w:val="28"/>
        </w:rPr>
        <w:t xml:space="preserve">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  <w:r>
        <w:rPr>
          <w:rFonts w:ascii="Times New Roman" w:hAnsi="Times New Roman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3) руководства по соблюдению обязательных требований, разработанные и утвержденные в соответствии с Федеральным законом</w:t>
      </w:r>
      <w:r>
        <w:rPr>
          <w:rFonts w:ascii="Times New Roman" w:hAnsi="Times New Roman"/>
          <w:sz w:val="28"/>
          <w:szCs w:val="28"/>
        </w:rPr>
        <w:t xml:space="preserve"> от </w:t>
        <w:br/>
        <w:t xml:space="preserve">31 июля 2020 года № 247-ФЗ «</w:t>
      </w:r>
      <w:r>
        <w:rPr>
          <w:rFonts w:ascii="Times New Roman" w:hAnsi="Times New Roman"/>
          <w:sz w:val="28"/>
          <w:szCs w:val="28"/>
        </w:rPr>
        <w:t xml:space="preserve">Об обязательных требованиях в Российской Федера</w:t>
      </w:r>
      <w:r>
        <w:rPr>
          <w:rFonts w:ascii="Times New Roman" w:hAnsi="Times New Roman"/>
          <w:sz w:val="28"/>
          <w:szCs w:val="28"/>
        </w:rPr>
        <w:t xml:space="preserve">ции»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4) перечень индикаторов риска нарушения обязательных требований, порядок отнесения объектов </w:t>
      </w:r>
      <w:r>
        <w:rPr>
          <w:rFonts w:ascii="Times New Roman" w:hAnsi="Times New Roman"/>
          <w:sz w:val="28"/>
          <w:szCs w:val="28"/>
        </w:rPr>
        <w:t xml:space="preserve">Надзора</w:t>
      </w:r>
      <w:r>
        <w:rPr>
          <w:rFonts w:ascii="Times New Roman" w:hAnsi="Times New Roman"/>
          <w:sz w:val="28"/>
          <w:szCs w:val="28"/>
        </w:rPr>
        <w:t xml:space="preserve"> к категории риска;</w:t>
      </w:r>
      <w:r>
        <w:rPr>
          <w:rFonts w:ascii="Times New Roman" w:hAnsi="Times New Roman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5) перечень объектов </w:t>
      </w:r>
      <w:r>
        <w:rPr>
          <w:rFonts w:ascii="Times New Roman" w:hAnsi="Times New Roman"/>
          <w:sz w:val="28"/>
          <w:szCs w:val="28"/>
        </w:rPr>
        <w:t xml:space="preserve">Надзора</w:t>
      </w:r>
      <w:r>
        <w:rPr>
          <w:rFonts w:ascii="Times New Roman" w:hAnsi="Times New Roman"/>
          <w:sz w:val="28"/>
          <w:szCs w:val="28"/>
        </w:rPr>
        <w:t xml:space="preserve">, учитываемых в рамках формирования ежегодного плана контрольных (н</w:t>
      </w:r>
      <w:r>
        <w:rPr>
          <w:rFonts w:ascii="Times New Roman" w:hAnsi="Times New Roman"/>
          <w:sz w:val="28"/>
          <w:szCs w:val="28"/>
        </w:rPr>
        <w:t xml:space="preserve">адзорных) мероприятий, с указанием категории риска;</w:t>
      </w:r>
      <w:r>
        <w:rPr>
          <w:rFonts w:ascii="Times New Roman" w:hAnsi="Times New Roman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6) программа профилактики и план проведения плановых контрольных (надзорных) мероприятий Управлением (при проведении таких мероприятий);</w:t>
      </w:r>
      <w:r>
        <w:rPr>
          <w:rFonts w:ascii="Times New Roman" w:hAnsi="Times New Roman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7) исчерпывающий перечень сведений, которые могут запрашиваться Управлением у контролируемого лица;</w:t>
      </w:r>
      <w:r>
        <w:rPr>
          <w:rFonts w:ascii="Times New Roman" w:hAnsi="Times New Roman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8) сведения о способах получения консультаций по вопросам соблюдения обязательных требований;</w:t>
      </w:r>
      <w:r>
        <w:rPr>
          <w:rFonts w:ascii="Times New Roman" w:hAnsi="Times New Roman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9) сведения о порядке досудебного обжалования решений Управления, действий (бездействия) ее должностных лиц;</w:t>
      </w:r>
      <w:r>
        <w:rPr>
          <w:rFonts w:ascii="Times New Roman" w:hAnsi="Times New Roman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10) доклады, содержащие результаты обобщения правоприменительной практики контрольного (надзорного) органа;</w:t>
      </w:r>
      <w:r>
        <w:rPr>
          <w:rFonts w:ascii="Times New Roman" w:hAnsi="Times New Roman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11) доклады о федеральном государственном контроле (надзоре);</w:t>
      </w:r>
      <w:r>
        <w:rPr>
          <w:rFonts w:ascii="Times New Roman" w:hAnsi="Times New Roman"/>
        </w:rPr>
      </w:r>
      <w:r/>
    </w:p>
    <w:p>
      <w:pPr>
        <w:pStyle w:val="603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12) иные сведения, предусмотренные нормативными правовыми актами </w:t>
      </w:r>
      <w:r>
        <w:rPr>
          <w:rFonts w:ascii="Times New Roman" w:hAnsi="Times New Roman"/>
          <w:sz w:val="28"/>
          <w:szCs w:val="28"/>
        </w:rPr>
        <w:t xml:space="preserve">Пензенской </w:t>
      </w:r>
      <w:r>
        <w:rPr>
          <w:rFonts w:ascii="Times New Roman" w:hAnsi="Times New Roman"/>
          <w:sz w:val="28"/>
          <w:szCs w:val="28"/>
        </w:rPr>
        <w:t xml:space="preserve">области и (или) программой профилактики.</w:t>
      </w:r>
      <w:r>
        <w:rPr>
          <w:rFonts w:ascii="Times New Roman" w:hAnsi="Times New Roman"/>
        </w:rPr>
      </w:r>
      <w:r/>
    </w:p>
    <w:p>
      <w:pPr>
        <w:pStyle w:val="1_760"/>
        <w:ind w:firstLine="709"/>
        <w:jc w:val="both"/>
      </w:pPr>
      <w:r>
        <w:rPr>
          <w:sz w:val="28"/>
          <w:szCs w:val="28"/>
        </w:rPr>
        <w:t xml:space="preserve">Консультирование </w:t>
      </w:r>
      <w:r>
        <w:rPr>
          <w:sz w:val="28"/>
          <w:szCs w:val="28"/>
        </w:rPr>
        <w:t xml:space="preserve">Управлением</w:t>
      </w:r>
      <w:r>
        <w:rPr>
          <w:sz w:val="28"/>
          <w:szCs w:val="28"/>
        </w:rPr>
        <w:t xml:space="preserve"> проводилось в ежедневном режиме при личном приеме, по телефону, при проведении выездной оценки на соответствие лицензионным требованиям, а также путем подачи обращений через официальный сайт в информационно-телекоммуникационной сети «Интернет»</w:t>
      </w:r>
      <w: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"https://mcx.pnzreg.ru"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https://mcx.pnzreg.ru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.</w:t>
      </w:r>
      <w:r>
        <w:rPr>
          <w:sz w:val="28"/>
        </w:rPr>
      </w:r>
      <w:r/>
    </w:p>
    <w:p>
      <w:pPr>
        <w:pStyle w:val="1_760"/>
        <w:ind w:firstLine="709"/>
        <w:jc w:val="both"/>
      </w:pPr>
      <w:r>
        <w:rPr>
          <w:sz w:val="28"/>
          <w:szCs w:val="28"/>
        </w:rPr>
        <w:t xml:space="preserve">Разработана, утверждена и размещена на официальном сайте </w:t>
      </w:r>
      <w:r>
        <w:rPr>
          <w:sz w:val="28"/>
          <w:szCs w:val="28"/>
        </w:rPr>
        <w:t xml:space="preserve">Министерства </w:t>
      </w:r>
      <w:r>
        <w:rPr>
          <w:sz w:val="28"/>
          <w:szCs w:val="28"/>
        </w:rPr>
        <w:t xml:space="preserve">программа профилактики на 202</w:t>
      </w:r>
      <w:r>
        <w:rPr>
          <w:sz w:val="28"/>
          <w:szCs w:val="28"/>
          <w:lang w:val="en-US"/>
        </w:rPr>
        <w:t xml:space="preserve">6</w:t>
      </w:r>
      <w:r>
        <w:rPr>
          <w:sz w:val="28"/>
          <w:szCs w:val="28"/>
        </w:rPr>
        <w:t xml:space="preserve"> год.</w:t>
      </w:r>
      <w:r>
        <w:rPr>
          <w:sz w:val="28"/>
        </w:rPr>
      </w:r>
      <w:r/>
    </w:p>
    <w:p>
      <w:pPr>
        <w:pStyle w:val="1_760"/>
        <w:ind w:firstLine="709"/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1_760"/>
        <w:ind w:firstLine="709"/>
        <w:jc w:val="center"/>
      </w:pPr>
      <w:r>
        <w:rPr>
          <w:b/>
          <w:sz w:val="28"/>
          <w:szCs w:val="28"/>
          <w:shd w:val="clear" w:color="auto" w:fill="FFFFFF"/>
        </w:rPr>
        <w:t xml:space="preserve">Заключительные положения</w:t>
      </w:r>
      <w:r/>
      <w:r/>
    </w:p>
    <w:p>
      <w:pPr>
        <w:pStyle w:val="1_760"/>
        <w:ind w:firstLine="709"/>
        <w:jc w:val="both"/>
      </w:pPr>
      <w:r>
        <w:rPr>
          <w:sz w:val="28"/>
          <w:szCs w:val="28"/>
        </w:rPr>
      </w:r>
      <w:r/>
      <w:r/>
    </w:p>
    <w:p>
      <w:pPr>
        <w:pStyle w:val="1_760"/>
        <w:ind w:firstLine="709"/>
        <w:jc w:val="both"/>
      </w:pPr>
      <w:r>
        <w:rPr>
          <w:sz w:val="28"/>
          <w:szCs w:val="28"/>
        </w:rPr>
        <w:t xml:space="preserve">В 202</w:t>
      </w:r>
      <w:r>
        <w:rPr>
          <w:sz w:val="28"/>
          <w:szCs w:val="28"/>
          <w:lang w:val="en-US"/>
        </w:rPr>
        <w:t xml:space="preserve">6</w:t>
      </w:r>
      <w:r>
        <w:rPr>
          <w:sz w:val="28"/>
          <w:szCs w:val="28"/>
        </w:rPr>
        <w:t xml:space="preserve"> году развитие контрольной (надзорной) работы Управления</w:t>
      </w:r>
      <w:r>
        <w:rPr>
          <w:sz w:val="28"/>
          <w:szCs w:val="28"/>
        </w:rPr>
        <w:t xml:space="preserve"> будет продолжено. Планируется расширение профилактической деятельности (в части проведения профилактических визитов). В 202</w:t>
      </w:r>
      <w:r>
        <w:rPr>
          <w:sz w:val="28"/>
          <w:szCs w:val="28"/>
          <w:lang w:val="en-US"/>
        </w:rPr>
        <w:t xml:space="preserve">6</w:t>
      </w:r>
      <w:r>
        <w:rPr>
          <w:sz w:val="28"/>
          <w:szCs w:val="28"/>
        </w:rPr>
        <w:t xml:space="preserve"> году количество проведенной профилактической работы – ключевой показатель всей надзорной деятельности органов контроля в рейтинге Правительства Российской Федерации. </w:t>
      </w:r>
      <w:r>
        <w:rPr>
          <w:sz w:val="28"/>
        </w:rPr>
      </w:r>
      <w:r/>
    </w:p>
    <w:p>
      <w:pPr>
        <w:pStyle w:val="1_760"/>
        <w:ind w:firstLine="708"/>
        <w:jc w:val="both"/>
      </w:pPr>
      <w:r>
        <w:rPr>
          <w:sz w:val="28"/>
          <w:szCs w:val="28"/>
        </w:rPr>
        <w:t xml:space="preserve">По мне</w:t>
      </w:r>
      <w:r>
        <w:rPr>
          <w:sz w:val="28"/>
          <w:szCs w:val="28"/>
        </w:rPr>
        <w:t xml:space="preserve">нию Упра</w:t>
      </w:r>
      <w:r>
        <w:rPr>
          <w:sz w:val="28"/>
          <w:szCs w:val="28"/>
        </w:rPr>
        <w:t xml:space="preserve">вления, будущее Надзора состоит в предотвращении случаев нарушения обязательных требований, связанных с </w:t>
      </w:r>
      <w:r>
        <w:rPr>
          <w:sz w:val="28"/>
          <w:szCs w:val="28"/>
        </w:rPr>
        <w:t xml:space="preserve">осуществлением деятельности по заготовке, хранению, переработке и реализации лома черных и цветных металлов</w:t>
      </w:r>
      <w:r>
        <w:rPr>
          <w:sz w:val="28"/>
          <w:szCs w:val="28"/>
        </w:rPr>
        <w:t xml:space="preserve">.</w:t>
      </w:r>
      <w:r/>
      <w:r/>
    </w:p>
    <w:p>
      <w:pPr>
        <w:pStyle w:val="1_760"/>
        <w:ind w:firstLine="708"/>
        <w:jc w:val="both"/>
      </w:pPr>
      <w:r>
        <w:rPr>
          <w:sz w:val="28"/>
          <w:szCs w:val="28"/>
        </w:rPr>
        <w:t xml:space="preserve">В этом смысле профилактика рисков нарушения обязательных требований в отношении юридических лиц и индивидуальных предпринимателей – неоспоримая основа контрольной (надзорной) деятельности Управления.</w:t>
      </w:r>
      <w:r/>
      <w:r/>
    </w:p>
    <w:p>
      <w:pPr>
        <w:jc w:val="both"/>
        <w:spacing w:lineRule="auto" w:line="240" w:after="0"/>
        <w:tabs>
          <w:tab w:val="left" w:pos="2010" w:leader="none"/>
        </w:tabs>
        <w:rPr>
          <w:rFonts w:ascii="Times New Roman" w:hAnsi="Times New Roman" w:cs="Times New Roman" w:eastAsia="Times New Roman"/>
          <w:sz w:val="26"/>
        </w:rPr>
      </w:pPr>
      <w:r>
        <w:rPr>
          <w:rFonts w:ascii="Times New Roman" w:hAnsi="Times New Roman" w:cs="Times New Roman" w:eastAsia="Times New Roman"/>
          <w:sz w:val="26"/>
        </w:rPr>
      </w:r>
      <w:r>
        <w:rPr>
          <w:rFonts w:ascii="Times New Roman" w:hAnsi="Times New Roman" w:cs="Times New Roman" w:eastAsia="Times New Roman"/>
          <w:sz w:val="26"/>
        </w:rPr>
      </w:r>
    </w:p>
    <w:p>
      <w:pPr>
        <w:spacing w:lineRule="auto" w:line="240" w:after="0"/>
        <w:rPr>
          <w:rFonts w:ascii="Times New Roman" w:hAnsi="Times New Roman" w:cs="Times New Roman" w:eastAsia="Times New Roman"/>
          <w:color w:val="000000"/>
          <w:sz w:val="26"/>
          <w:szCs w:val="28"/>
        </w:rPr>
      </w:pPr>
      <w:r>
        <w:rPr>
          <w:rFonts w:ascii="Times New Roman" w:hAnsi="Times New Roman" w:cs="Times New Roman" w:eastAsia="Times New Roman"/>
          <w:color w:val="000000"/>
          <w:sz w:val="26"/>
          <w:szCs w:val="28"/>
          <w:lang w:eastAsia="ru-RU"/>
        </w:rPr>
      </w:r>
      <w:r>
        <w:rPr>
          <w:rFonts w:ascii="Times New Roman" w:hAnsi="Times New Roman" w:cs="Times New Roman" w:eastAsia="Times New Roman"/>
          <w:sz w:val="26"/>
        </w:rPr>
      </w:r>
      <w:r/>
    </w:p>
    <w:sectPr>
      <w:footnotePr/>
      <w:type w:val="nextPage"/>
      <w:pgSz w:w="11907" w:h="16840" w:orient="portrait"/>
      <w:pgMar w:top="1275" w:right="850" w:bottom="1250" w:left="1418" w:header="720" w:footer="720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     Times New Roman">
    <w:panose1 w:val="02020603050405020304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5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77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49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1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93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5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37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09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11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215" w:hanging="1215"/>
      </w:pPr>
    </w:lvl>
    <w:lvl w:ilvl="1">
      <w:start w:val="1"/>
      <w:numFmt w:val="decimal"/>
      <w:isLgl w:val="false"/>
      <w:suff w:val="tab"/>
      <w:lvlText w:val="%1.%2."/>
      <w:lvlJc w:val="left"/>
      <w:pPr>
        <w:ind w:left="1755" w:hanging="121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5" w:hanging="121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121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75" w:hanging="121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21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/>
        <w:sz w:val="20"/>
        <w:szCs w:val="20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/>
        <w:sz w:val="20"/>
        <w:szCs w:val="20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/>
        <w:sz w:val="20"/>
        <w:szCs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  <w:tabs>
          <w:tab w:val="num" w:pos="169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06" w:default="1">
    <w:name w:val="Normal"/>
    <w:rPr>
      <w:rFonts w:ascii="Calibri" w:hAnsi="Calibri" w:eastAsia="Calibri"/>
      <w:sz w:val="22"/>
      <w:lang w:bidi="ar-SA"/>
    </w:rPr>
    <w:pPr>
      <w:spacing w:lineRule="auto" w:line="276" w:after="200"/>
    </w:pPr>
  </w:style>
  <w:style w:type="paragraph" w:styleId="407">
    <w:name w:val="Heading 1"/>
    <w:basedOn w:val="406"/>
    <w:next w:val="406"/>
    <w:link w:val="435"/>
    <w:rPr>
      <w:sz w:val="24"/>
    </w:rPr>
    <w:pPr>
      <w:jc w:val="both"/>
      <w:keepNext/>
      <w:outlineLvl w:val="0"/>
    </w:pPr>
  </w:style>
  <w:style w:type="paragraph" w:styleId="408">
    <w:name w:val="Heading 2"/>
    <w:basedOn w:val="406"/>
    <w:next w:val="406"/>
    <w:link w:val="436"/>
    <w:rPr>
      <w:sz w:val="24"/>
    </w:rPr>
    <w:pPr>
      <w:keepNext/>
      <w:outlineLvl w:val="1"/>
    </w:pPr>
  </w:style>
  <w:style w:type="paragraph" w:styleId="409">
    <w:name w:val="Heading 3"/>
    <w:basedOn w:val="406"/>
    <w:next w:val="406"/>
    <w:link w:val="437"/>
    <w:rPr>
      <w:b/>
      <w:sz w:val="40"/>
    </w:rPr>
    <w:pPr>
      <w:jc w:val="center"/>
      <w:keepNext/>
      <w:outlineLvl w:val="2"/>
    </w:pPr>
  </w:style>
  <w:style w:type="paragraph" w:styleId="410">
    <w:name w:val="Heading 4"/>
    <w:basedOn w:val="406"/>
    <w:next w:val="406"/>
    <w:link w:val="438"/>
    <w:rPr>
      <w:sz w:val="28"/>
    </w:rPr>
    <w:pPr>
      <w:jc w:val="center"/>
      <w:keepNext/>
      <w:outlineLvl w:val="3"/>
    </w:pPr>
  </w:style>
  <w:style w:type="paragraph" w:styleId="411">
    <w:name w:val="Heading 5"/>
    <w:link w:val="43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2">
    <w:name w:val="Heading 6"/>
    <w:link w:val="440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13">
    <w:name w:val="Heading 7"/>
    <w:link w:val="441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14">
    <w:name w:val="Heading 8"/>
    <w:link w:val="442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15">
    <w:name w:val="Heading 9"/>
    <w:link w:val="44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6" w:default="1">
    <w:name w:val="Default Paragraph Font"/>
    <w:uiPriority w:val="1"/>
    <w:semiHidden/>
    <w:unhideWhenUsed/>
  </w:style>
  <w:style w:type="table" w:styleId="4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8" w:default="1">
    <w:name w:val="No List"/>
    <w:uiPriority w:val="99"/>
    <w:semiHidden/>
    <w:unhideWhenUsed/>
  </w:style>
  <w:style w:type="character" w:styleId="419" w:customStyle="1">
    <w:name w:val="Heading 1 Char"/>
    <w:basedOn w:val="416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Heading 2 Char"/>
    <w:basedOn w:val="416"/>
    <w:uiPriority w:val="9"/>
    <w:rPr>
      <w:rFonts w:ascii="Arial" w:hAnsi="Arial" w:cs="Arial" w:eastAsia="Arial"/>
      <w:sz w:val="34"/>
    </w:rPr>
  </w:style>
  <w:style w:type="character" w:styleId="421" w:customStyle="1">
    <w:name w:val="Heading 3 Char"/>
    <w:basedOn w:val="416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Heading 4 Char"/>
    <w:basedOn w:val="416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Heading 5 Char"/>
    <w:basedOn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Heading 6 Char"/>
    <w:basedOn w:val="416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Heading 7 Char"/>
    <w:basedOn w:val="41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Heading 8 Char"/>
    <w:basedOn w:val="416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Heading 9 Char"/>
    <w:basedOn w:val="416"/>
    <w:uiPriority w:val="9"/>
    <w:rPr>
      <w:rFonts w:ascii="Arial" w:hAnsi="Arial" w:cs="Arial" w:eastAsia="Arial"/>
      <w:i/>
      <w:iCs/>
      <w:sz w:val="21"/>
      <w:szCs w:val="21"/>
    </w:rPr>
  </w:style>
  <w:style w:type="character" w:styleId="428" w:customStyle="1">
    <w:name w:val="Title Char"/>
    <w:basedOn w:val="416"/>
    <w:uiPriority w:val="10"/>
    <w:rPr>
      <w:sz w:val="48"/>
      <w:szCs w:val="48"/>
    </w:rPr>
  </w:style>
  <w:style w:type="character" w:styleId="429" w:customStyle="1">
    <w:name w:val="Subtitle Char"/>
    <w:basedOn w:val="416"/>
    <w:uiPriority w:val="11"/>
    <w:rPr>
      <w:sz w:val="24"/>
      <w:szCs w:val="24"/>
    </w:rPr>
  </w:style>
  <w:style w:type="character" w:styleId="430" w:customStyle="1">
    <w:name w:val="Quote Char"/>
    <w:uiPriority w:val="29"/>
    <w:rPr>
      <w:i/>
    </w:rPr>
  </w:style>
  <w:style w:type="character" w:styleId="431" w:customStyle="1">
    <w:name w:val="Intense Quote Char"/>
    <w:uiPriority w:val="30"/>
    <w:rPr>
      <w:i/>
    </w:rPr>
  </w:style>
  <w:style w:type="character" w:styleId="432" w:customStyle="1">
    <w:name w:val="Header Char"/>
    <w:basedOn w:val="416"/>
    <w:uiPriority w:val="99"/>
  </w:style>
  <w:style w:type="character" w:styleId="433" w:customStyle="1">
    <w:name w:val="Caption Char"/>
    <w:uiPriority w:val="99"/>
  </w:style>
  <w:style w:type="character" w:styleId="434" w:customStyle="1">
    <w:name w:val="Footnote Text Char"/>
    <w:uiPriority w:val="99"/>
    <w:rPr>
      <w:sz w:val="18"/>
    </w:rPr>
  </w:style>
  <w:style w:type="character" w:styleId="435" w:customStyle="1">
    <w:name w:val="Заголовок 1 Знак"/>
    <w:link w:val="407"/>
    <w:uiPriority w:val="9"/>
    <w:rPr>
      <w:rFonts w:ascii="Arial" w:hAnsi="Arial" w:cs="Arial" w:eastAsia="Arial"/>
      <w:sz w:val="40"/>
      <w:szCs w:val="40"/>
    </w:rPr>
  </w:style>
  <w:style w:type="character" w:styleId="436" w:customStyle="1">
    <w:name w:val="Заголовок 2 Знак"/>
    <w:link w:val="408"/>
    <w:uiPriority w:val="9"/>
    <w:rPr>
      <w:rFonts w:ascii="Arial" w:hAnsi="Arial" w:cs="Arial" w:eastAsia="Arial"/>
      <w:sz w:val="34"/>
    </w:rPr>
  </w:style>
  <w:style w:type="character" w:styleId="437" w:customStyle="1">
    <w:name w:val="Заголовок 3 Знак"/>
    <w:link w:val="409"/>
    <w:uiPriority w:val="9"/>
    <w:rPr>
      <w:rFonts w:ascii="Arial" w:hAnsi="Arial" w:cs="Arial" w:eastAsia="Arial"/>
      <w:sz w:val="30"/>
      <w:szCs w:val="30"/>
    </w:rPr>
  </w:style>
  <w:style w:type="character" w:styleId="438" w:customStyle="1">
    <w:name w:val="Заголовок 4 Знак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439" w:customStyle="1">
    <w:name w:val="Заголовок 5 Знак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440" w:customStyle="1">
    <w:name w:val="Заголовок 6 Знак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441" w:customStyle="1">
    <w:name w:val="Заголовок 7 Знак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42" w:customStyle="1">
    <w:name w:val="Заголовок 8 Знак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43" w:customStyle="1">
    <w:name w:val="Заголовок 9 Знак"/>
    <w:link w:val="415"/>
    <w:uiPriority w:val="9"/>
    <w:rPr>
      <w:rFonts w:ascii="Arial" w:hAnsi="Arial" w:cs="Arial" w:eastAsia="Arial"/>
      <w:i/>
      <w:iCs/>
      <w:sz w:val="21"/>
      <w:szCs w:val="21"/>
    </w:rPr>
  </w:style>
  <w:style w:type="paragraph" w:styleId="444">
    <w:name w:val="List Paragraph"/>
    <w:qFormat/>
    <w:uiPriority w:val="34"/>
    <w:pPr>
      <w:contextualSpacing w:val="true"/>
      <w:ind w:left="720"/>
    </w:pPr>
  </w:style>
  <w:style w:type="paragraph" w:styleId="445">
    <w:name w:val="No Spacing"/>
    <w:qFormat/>
    <w:uiPriority w:val="1"/>
  </w:style>
  <w:style w:type="paragraph" w:styleId="446">
    <w:name w:val="Title"/>
    <w:basedOn w:val="406"/>
    <w:link w:val="447"/>
    <w:rPr>
      <w:b/>
      <w:sz w:val="26"/>
    </w:rPr>
    <w:pPr>
      <w:jc w:val="center"/>
    </w:pPr>
  </w:style>
  <w:style w:type="character" w:styleId="447" w:customStyle="1">
    <w:name w:val="Название Знак"/>
    <w:link w:val="446"/>
    <w:uiPriority w:val="10"/>
    <w:rPr>
      <w:sz w:val="48"/>
      <w:szCs w:val="48"/>
    </w:rPr>
  </w:style>
  <w:style w:type="paragraph" w:styleId="448">
    <w:name w:val="Subtitle"/>
    <w:link w:val="449"/>
    <w:qFormat/>
    <w:uiPriority w:val="11"/>
    <w:rPr>
      <w:sz w:val="24"/>
      <w:szCs w:val="24"/>
    </w:rPr>
    <w:pPr>
      <w:spacing w:after="200" w:before="200"/>
    </w:pPr>
  </w:style>
  <w:style w:type="character" w:styleId="449" w:customStyle="1">
    <w:name w:val="Подзаголовок Знак"/>
    <w:link w:val="448"/>
    <w:uiPriority w:val="11"/>
    <w:rPr>
      <w:sz w:val="24"/>
      <w:szCs w:val="24"/>
    </w:rPr>
  </w:style>
  <w:style w:type="paragraph" w:styleId="450">
    <w:name w:val="Quote"/>
    <w:link w:val="451"/>
    <w:qFormat/>
    <w:uiPriority w:val="29"/>
    <w:rPr>
      <w:i/>
    </w:rPr>
    <w:pPr>
      <w:ind w:left="720" w:right="720"/>
    </w:pPr>
  </w:style>
  <w:style w:type="character" w:styleId="451" w:customStyle="1">
    <w:name w:val="Цитата 2 Знак"/>
    <w:link w:val="450"/>
    <w:uiPriority w:val="29"/>
    <w:rPr>
      <w:i/>
    </w:rPr>
  </w:style>
  <w:style w:type="paragraph" w:styleId="452">
    <w:name w:val="Intense Quote"/>
    <w:link w:val="453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53" w:customStyle="1">
    <w:name w:val="Выделенная цитата Знак"/>
    <w:link w:val="452"/>
    <w:uiPriority w:val="30"/>
    <w:rPr>
      <w:i/>
    </w:rPr>
  </w:style>
  <w:style w:type="paragraph" w:styleId="454">
    <w:name w:val="Header"/>
    <w:basedOn w:val="406"/>
    <w:link w:val="455"/>
    <w:pPr>
      <w:tabs>
        <w:tab w:val="center" w:pos="4153" w:leader="none"/>
        <w:tab w:val="right" w:pos="8306" w:leader="none"/>
      </w:tabs>
    </w:pPr>
  </w:style>
  <w:style w:type="character" w:styleId="455" w:customStyle="1">
    <w:name w:val="Верхний колонтитул Знак"/>
    <w:link w:val="454"/>
    <w:uiPriority w:val="99"/>
  </w:style>
  <w:style w:type="paragraph" w:styleId="456">
    <w:name w:val="Footer"/>
    <w:basedOn w:val="406"/>
    <w:link w:val="459"/>
    <w:pPr>
      <w:tabs>
        <w:tab w:val="center" w:pos="4153" w:leader="none"/>
        <w:tab w:val="right" w:pos="8306" w:leader="none"/>
      </w:tabs>
    </w:pPr>
  </w:style>
  <w:style w:type="character" w:styleId="457" w:customStyle="1">
    <w:name w:val="Footer Char"/>
    <w:uiPriority w:val="99"/>
  </w:style>
  <w:style w:type="paragraph" w:styleId="458">
    <w:name w:val="Caption"/>
    <w:basedOn w:val="406"/>
    <w:next w:val="406"/>
    <w:rPr>
      <w:b/>
      <w:sz w:val="40"/>
    </w:rPr>
    <w:pPr>
      <w:jc w:val="center"/>
    </w:pPr>
  </w:style>
  <w:style w:type="character" w:styleId="459" w:customStyle="1">
    <w:name w:val="Нижний колонтитул Знак"/>
    <w:link w:val="456"/>
    <w:uiPriority w:val="99"/>
  </w:style>
  <w:style w:type="table" w:styleId="460">
    <w:name w:val="Table Grid"/>
    <w:basedOn w:val="417"/>
    <w:pPr>
      <w:widowControl w:val="off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461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2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3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4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65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6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67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8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9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0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1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2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3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4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1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8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89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90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91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92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93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94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95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96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97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98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99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00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01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02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03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04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05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06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07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8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9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510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A6BFDD" w:sz="4" w:space="0" w:themeColor="accen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A6BFDD" w:sz="4" w:space="0" w:themeColor="accent1" w:themeTint="80"/>
          <w:right w:val="none" w:sz="0" w:space="0" w:color="auto"/>
          <w:bottom w:val="none" w:sz="0" w:space="0" w:color="auto"/>
        </w:tcBorders>
      </w:tcPr>
    </w:tblStylePr>
  </w:style>
  <w:style w:type="table" w:styleId="511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512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ABB59" w:sz="4" w:space="0" w:themeColor="accent3" w:themeTint="FE"/>
          <w:bottom w:val="none" w:sz="0" w:space="0" w:color="auto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ABB59" w:sz="4" w:space="0" w:themeColor="accent3" w:themeTint="FE"/>
          <w:right w:val="none" w:sz="0" w:space="0" w:color="auto"/>
          <w:bottom w:val="none" w:sz="0" w:space="0" w:color="auto"/>
        </w:tcBorders>
      </w:tcPr>
    </w:tblStylePr>
  </w:style>
  <w:style w:type="table" w:styleId="513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514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9D0DE" w:sz="4" w:space="0" w:themeColor="accent5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9D0DE" w:sz="4" w:space="0" w:themeColor="accent5" w:themeTint="90"/>
          <w:right w:val="none" w:sz="0" w:space="0" w:color="auto"/>
          <w:bottom w:val="none" w:sz="0" w:space="0" w:color="auto"/>
        </w:tcBorders>
      </w:tcPr>
    </w:tblStylePr>
  </w:style>
  <w:style w:type="table" w:styleId="515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FAC396" w:sz="4" w:space="0" w:themeColor="accent6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FAC396" w:sz="4" w:space="0" w:themeColor="accent6" w:themeTint="90"/>
          <w:right w:val="none" w:sz="0" w:space="0" w:color="auto"/>
          <w:bottom w:val="none" w:sz="0" w:space="0" w:color="auto"/>
        </w:tcBorders>
      </w:tcPr>
    </w:tblStylePr>
  </w:style>
  <w:style w:type="table" w:styleId="516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1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1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2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2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2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23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2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2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2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2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2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2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30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3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4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6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8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5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6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7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8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9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0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1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5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5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5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5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5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5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58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55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4F81BD" w:sz="4" w:space="0" w:themeColor="accent1"/>
          <w:bottom w:val="none" w:sz="0" w:space="0" w:color="auto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4F81BD" w:sz="4" w:space="0" w:themeColor="accent1"/>
          <w:right w:val="none" w:sz="0" w:space="0" w:color="auto"/>
          <w:bottom w:val="none" w:sz="0" w:space="0" w:color="auto"/>
        </w:tcBorders>
      </w:tcPr>
    </w:tblStylePr>
  </w:style>
  <w:style w:type="table" w:styleId="56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56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C3D69B" w:sz="4" w:space="0" w:themeColor="accent3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C3D69B" w:sz="4" w:space="0" w:themeColor="accent3" w:themeTint="98"/>
          <w:right w:val="none" w:sz="0" w:space="0" w:color="auto"/>
          <w:bottom w:val="none" w:sz="0" w:space="0" w:color="auto"/>
        </w:tcBorders>
      </w:tcPr>
    </w:tblStylePr>
  </w:style>
  <w:style w:type="table" w:styleId="56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56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2CCDC" w:sz="4" w:space="0" w:themeColor="accent5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2CCDC" w:sz="4" w:space="0" w:themeColor="accent5" w:themeTint="9A"/>
          <w:right w:val="none" w:sz="0" w:space="0" w:color="auto"/>
          <w:bottom w:val="none" w:sz="0" w:space="0" w:color="auto"/>
        </w:tcBorders>
      </w:tcPr>
    </w:tblStylePr>
  </w:style>
  <w:style w:type="table" w:styleId="56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FAC090" w:sz="4" w:space="0" w:themeColor="accent6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FAC090" w:sz="4" w:space="0" w:themeColor="accent6" w:themeTint="98"/>
          <w:right w:val="none" w:sz="0" w:space="0" w:color="auto"/>
          <w:bottom w:val="none" w:sz="0" w:space="0" w:color="auto"/>
        </w:tcBorders>
      </w:tcPr>
    </w:tblStylePr>
  </w:style>
  <w:style w:type="table" w:styleId="565" w:customStyle="1">
    <w:name w:val="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6" w:customStyle="1">
    <w:name w:val="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7" w:customStyle="1">
    <w:name w:val="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8" w:customStyle="1">
    <w:name w:val="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9" w:customStyle="1">
    <w:name w:val="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0" w:customStyle="1">
    <w:name w:val="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1" w:customStyle="1">
    <w:name w:val="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2" w:customStyle="1">
    <w:name w:val="Bordered &amp; 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73" w:customStyle="1">
    <w:name w:val="Bordered &amp; 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74" w:customStyle="1">
    <w:name w:val="Bordered &amp; 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75" w:customStyle="1">
    <w:name w:val="Bordered &amp; 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76" w:customStyle="1">
    <w:name w:val="Bordered &amp; 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7" w:customStyle="1">
    <w:name w:val="Bordered &amp; 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8" w:customStyle="1">
    <w:name w:val="Bordered &amp; 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9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80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81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82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83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84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85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86">
    <w:name w:val="Hyperlink"/>
    <w:rPr>
      <w:color w:val="0000FF"/>
      <w:u w:val="single"/>
    </w:rPr>
  </w:style>
  <w:style w:type="paragraph" w:styleId="587">
    <w:name w:val="footnote text"/>
    <w:link w:val="588"/>
    <w:uiPriority w:val="99"/>
    <w:semiHidden/>
    <w:unhideWhenUsed/>
    <w:rPr>
      <w:sz w:val="18"/>
    </w:rPr>
    <w:pPr>
      <w:spacing w:after="40"/>
    </w:pPr>
  </w:style>
  <w:style w:type="character" w:styleId="588" w:customStyle="1">
    <w:name w:val="Текст сноски Знак"/>
    <w:link w:val="587"/>
    <w:uiPriority w:val="99"/>
    <w:rPr>
      <w:sz w:val="18"/>
    </w:rPr>
  </w:style>
  <w:style w:type="character" w:styleId="589">
    <w:name w:val="footnote reference"/>
    <w:uiPriority w:val="99"/>
    <w:unhideWhenUsed/>
    <w:rPr>
      <w:vertAlign w:val="superscript"/>
    </w:rPr>
  </w:style>
  <w:style w:type="paragraph" w:styleId="590">
    <w:name w:val="toc 1"/>
    <w:uiPriority w:val="39"/>
    <w:unhideWhenUsed/>
    <w:pPr>
      <w:spacing w:after="57"/>
    </w:pPr>
  </w:style>
  <w:style w:type="paragraph" w:styleId="591">
    <w:name w:val="toc 2"/>
    <w:uiPriority w:val="39"/>
    <w:unhideWhenUsed/>
    <w:pPr>
      <w:ind w:left="283"/>
      <w:spacing w:after="57"/>
    </w:pPr>
  </w:style>
  <w:style w:type="paragraph" w:styleId="592">
    <w:name w:val="toc 3"/>
    <w:uiPriority w:val="39"/>
    <w:unhideWhenUsed/>
    <w:pPr>
      <w:ind w:left="567"/>
      <w:spacing w:after="57"/>
    </w:pPr>
  </w:style>
  <w:style w:type="paragraph" w:styleId="593">
    <w:name w:val="toc 4"/>
    <w:uiPriority w:val="39"/>
    <w:unhideWhenUsed/>
    <w:pPr>
      <w:ind w:left="850"/>
      <w:spacing w:after="57"/>
    </w:pPr>
  </w:style>
  <w:style w:type="paragraph" w:styleId="594">
    <w:name w:val="toc 5"/>
    <w:uiPriority w:val="39"/>
    <w:unhideWhenUsed/>
    <w:pPr>
      <w:ind w:left="1134"/>
      <w:spacing w:after="57"/>
    </w:pPr>
  </w:style>
  <w:style w:type="paragraph" w:styleId="595">
    <w:name w:val="toc 6"/>
    <w:uiPriority w:val="39"/>
    <w:unhideWhenUsed/>
    <w:pPr>
      <w:ind w:left="1417"/>
      <w:spacing w:after="57"/>
    </w:pPr>
  </w:style>
  <w:style w:type="paragraph" w:styleId="596">
    <w:name w:val="toc 7"/>
    <w:uiPriority w:val="39"/>
    <w:unhideWhenUsed/>
    <w:pPr>
      <w:ind w:left="1701"/>
      <w:spacing w:after="57"/>
    </w:pPr>
  </w:style>
  <w:style w:type="paragraph" w:styleId="597">
    <w:name w:val="toc 8"/>
    <w:uiPriority w:val="39"/>
    <w:unhideWhenUsed/>
    <w:pPr>
      <w:ind w:left="1984"/>
      <w:spacing w:after="57"/>
    </w:pPr>
  </w:style>
  <w:style w:type="paragraph" w:styleId="598">
    <w:name w:val="toc 9"/>
    <w:uiPriority w:val="39"/>
    <w:unhideWhenUsed/>
    <w:pPr>
      <w:ind w:left="2268"/>
      <w:spacing w:after="57"/>
    </w:pPr>
  </w:style>
  <w:style w:type="paragraph" w:styleId="599">
    <w:name w:val="TOC Heading"/>
    <w:uiPriority w:val="39"/>
    <w:unhideWhenUsed/>
  </w:style>
  <w:style w:type="character" w:styleId="600" w:customStyle="1">
    <w:name w:val="Основной шрифт абзаца1"/>
    <w:semiHidden/>
    <w:rPr>
      <w:sz w:val="20"/>
    </w:rPr>
  </w:style>
  <w:style w:type="character" w:styleId="601">
    <w:name w:val="page number"/>
    <w:basedOn w:val="416"/>
  </w:style>
  <w:style w:type="paragraph" w:styleId="602" w:customStyle="1">
    <w:name w:val="ConsPlusCell"/>
    <w:rPr>
      <w:rFonts w:ascii="Arial" w:hAnsi="Arial"/>
      <w:lang w:bidi="ar-SA" w:eastAsia="ru-RU"/>
    </w:rPr>
    <w:pPr>
      <w:widowControl w:val="off"/>
    </w:pPr>
  </w:style>
  <w:style w:type="paragraph" w:styleId="603" w:customStyle="1">
    <w:name w:val="ConsPlusNormal"/>
    <w:rPr>
      <w:rFonts w:ascii="Arial" w:hAnsi="Arial"/>
      <w:lang w:bidi="ar-SA" w:eastAsia="ru-RU"/>
    </w:rPr>
    <w:pPr>
      <w:ind w:firstLine="720"/>
    </w:pPr>
  </w:style>
  <w:style w:type="paragraph" w:styleId="604" w:customStyle="1">
    <w:name w:val="ConsPlusNonformat"/>
    <w:rPr>
      <w:rFonts w:ascii="Courier New" w:hAnsi="Courier New"/>
      <w:lang w:bidi="ar-SA" w:eastAsia="ru-RU"/>
    </w:rPr>
  </w:style>
  <w:style w:type="paragraph" w:styleId="605">
    <w:name w:val="Balloon Text"/>
    <w:basedOn w:val="406"/>
    <w:link w:val="606"/>
    <w:rPr>
      <w:rFonts w:ascii="Tahoma" w:hAnsi="Tahoma"/>
      <w:sz w:val="16"/>
      <w:szCs w:val="16"/>
    </w:rPr>
  </w:style>
  <w:style w:type="character" w:styleId="606" w:customStyle="1">
    <w:name w:val="Текст выноски Знак"/>
    <w:link w:val="605"/>
    <w:rPr>
      <w:rFonts w:ascii="Tahoma" w:hAnsi="Tahoma"/>
      <w:sz w:val="16"/>
      <w:szCs w:val="16"/>
    </w:rPr>
  </w:style>
  <w:style w:type="paragraph" w:styleId="607" w:customStyle="1">
    <w:name w:val="Char"/>
    <w:basedOn w:val="406"/>
    <w:rPr>
      <w:rFonts w:ascii="Arial" w:hAnsi="Arial"/>
      <w:lang w:val="fr-FR"/>
    </w:rPr>
    <w:pPr>
      <w:spacing w:lineRule="exact" w:line="240" w:after="160"/>
    </w:pPr>
  </w:style>
  <w:style w:type="table" w:styleId="608" w:customStyle="1">
    <w:name w:val="Сетка таблицы1"/>
    <w:basedOn w:val="417"/>
    <w:next w:val="460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09" w:customStyle="1">
    <w:name w:val="Сетка таблицы11"/>
    <w:basedOn w:val="417"/>
    <w:rPr>
      <w:rFonts w:ascii="Calibri" w:hAnsi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610">
    <w:name w:val="annotation reference"/>
    <w:rPr>
      <w:sz w:val="16"/>
      <w:szCs w:val="16"/>
    </w:rPr>
  </w:style>
  <w:style w:type="paragraph" w:styleId="611">
    <w:name w:val="annotation text"/>
    <w:basedOn w:val="406"/>
    <w:link w:val="612"/>
    <w:pPr>
      <w:spacing w:lineRule="auto" w:line="259" w:after="160"/>
    </w:pPr>
  </w:style>
  <w:style w:type="character" w:styleId="612" w:customStyle="1">
    <w:name w:val="Текст примечания Знак"/>
    <w:link w:val="611"/>
    <w:rPr>
      <w:rFonts w:ascii="Calibri" w:hAnsi="Calibri"/>
    </w:rPr>
  </w:style>
  <w:style w:type="paragraph" w:styleId="613" w:customStyle="1">
    <w:name w:val="ConsPlusTitle"/>
    <w:rPr>
      <w:rFonts w:ascii="Arial" w:hAnsi="Arial"/>
      <w:b/>
      <w:bCs/>
      <w:sz w:val="24"/>
      <w:szCs w:val="24"/>
      <w:lang w:bidi="ar-SA" w:eastAsia="ru-RU"/>
    </w:rPr>
    <w:pPr>
      <w:widowControl w:val="off"/>
    </w:pPr>
  </w:style>
  <w:style w:type="character" w:styleId="614">
    <w:name w:val="Emphasis"/>
    <w:rPr>
      <w:i/>
      <w:iCs/>
    </w:rPr>
  </w:style>
  <w:style w:type="paragraph" w:styleId="615">
    <w:name w:val="annotation subject"/>
    <w:basedOn w:val="611"/>
    <w:next w:val="611"/>
    <w:link w:val="616"/>
    <w:rPr>
      <w:rFonts w:ascii="Times New Roman" w:hAnsi="Times New Roman"/>
      <w:b/>
      <w:bCs/>
    </w:rPr>
    <w:pPr>
      <w:spacing w:lineRule="auto" w:line="240" w:after="0"/>
      <w:widowControl w:val="off"/>
    </w:pPr>
  </w:style>
  <w:style w:type="character" w:styleId="616" w:customStyle="1">
    <w:name w:val="Тема примечания Знак"/>
    <w:link w:val="615"/>
    <w:rPr>
      <w:rFonts w:ascii="Calibri" w:hAnsi="Calibri"/>
      <w:b/>
      <w:bCs/>
    </w:rPr>
  </w:style>
  <w:style w:type="paragraph" w:styleId="617" w:customStyle="1">
    <w:name w:val="Знак"/>
    <w:basedOn w:val="406"/>
    <w:rPr>
      <w:rFonts w:ascii="Verdana" w:hAnsi="Verdana"/>
      <w:sz w:val="20"/>
      <w:szCs w:val="20"/>
      <w:lang w:val="en-US"/>
    </w:rPr>
    <w:pPr>
      <w:spacing w:lineRule="exact" w:line="240" w:after="160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  <w:style w:type="paragraph" w:styleId="618" w:customStyle="1">
    <w:name w:val="Содержимое таблицы"/>
    <w:rPr>
      <w:lang w:bidi="ar-SA" w:eastAsia="ar-SA"/>
    </w:rPr>
    <w:pPr>
      <w:widowControl w:val="off"/>
    </w:pPr>
  </w:style>
  <w:style w:type="paragraph" w:styleId="619">
    <w:name w:val="О*н*в*о* т*к*т"/>
    <w:rPr>
      <w:rFonts w:ascii="     Times New Roman" w:hAnsi="     Times New Roman" w:cs="     Times New Roman" w:eastAsia="     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000000"/>
      <w:spacing w:val="0"/>
      <w:position w:val="0"/>
      <w:sz w:val="24"/>
      <w:szCs w:val="22"/>
      <w:u w:val="none"/>
      <w:vertAlign w:val="baseline"/>
      <w:rtl w:val="false"/>
      <w:cs w:val="false"/>
      <w:lang w:val="en-US" w:bidi="en-US" w:eastAsia="en-US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12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1_760">
    <w:name w:val="Обычный"/>
    <w:next w:val="405"/>
    <w:link w:val="405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2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1_761">
    <w:name w:val="Default"/>
    <w:next w:val="437"/>
    <w:link w:val="405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000000"/>
      <w:spacing w:val="0"/>
      <w:position w:val="0"/>
      <w:sz w:val="24"/>
      <w:szCs w:val="24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jpg"/><Relationship Id="rId9" Type="http://schemas.openxmlformats.org/officeDocument/2006/relationships/hyperlink" Target="https://mcx.pnzreg.ru/all/%E2%84%96%202409%20%D0%BE%D1%82%2030.06.2023.rtf" TargetMode="External"/><Relationship Id="rId10" Type="http://schemas.openxmlformats.org/officeDocument/2006/relationships/hyperlink" Target="https://mcx.pnzreg.ru/all/%E2%84%96%202409%20%D0%BE%D1%82%2030.06.2023.rtf" TargetMode="External"/><Relationship Id="rId11" Type="http://schemas.openxmlformats.org/officeDocument/2006/relationships/hyperlink" Target="https://mcx.pnzreg.ru/all/%E2%84%96%202409%20%D0%BE%D1%82%2030.06.2023.rtf" TargetMode="External"/><Relationship Id="rId12" Type="http://schemas.openxmlformats.org/officeDocument/2006/relationships/hyperlink" Target="https://mcx.pnzreg.ru/all/%E2%84%96%202409%20%D0%BE%D1%82%2030.06.2023.rtf" TargetMode="External"/><Relationship Id="rId13" Type="http://schemas.openxmlformats.org/officeDocument/2006/relationships/hyperlink" Target="https://mcx.pnzreg.ru/all/%E2%84%96%202409%20%D0%BE%D1%82%2030.06.2023.rtf" TargetMode="External"/><Relationship Id="rId14" Type="http://schemas.openxmlformats.org/officeDocument/2006/relationships/hyperlink" Target="https://mcx.pnzreg.ru/all/%E2%84%96%202409%20%D0%BE%D1%82%2030.06.2023.rtf" TargetMode="External"/><Relationship Id="rId15" Type="http://schemas.openxmlformats.org/officeDocument/2006/relationships/hyperlink" Target="https://mcx.pnzreg.ru/all/%E2%84%96%202409%20%D0%BE%D1%82%2030.06.2023.rtf" TargetMode="External"/><Relationship Id="rId16" Type="http://schemas.openxmlformats.org/officeDocument/2006/relationships/hyperlink" Target="https://mcx.pnzreg.ru/all/%E2%84%96%202409%20%D0%BE%D1%82%2030.06.2023.rtf" TargetMode="External"/><Relationship Id="rId17" Type="http://schemas.openxmlformats.org/officeDocument/2006/relationships/hyperlink" Target="https://mcx.pnzreg.ru/all/157%20(2).rtf" TargetMode="External"/><Relationship Id="rId18" Type="http://schemas.openxmlformats.org/officeDocument/2006/relationships/hyperlink" Target="https://mcx.pnzreg.ru/all/157%20(2).rtf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revision>23</cp:revision>
  <dcterms:created xsi:type="dcterms:W3CDTF">2024-11-18T08:33:00Z</dcterms:created>
  <dcterms:modified xsi:type="dcterms:W3CDTF">2026-02-27T12:21:53Z</dcterms:modified>
</cp:coreProperties>
</file>