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sz w:val="28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-146049</wp:posOffset>
                </wp:positionV>
                <wp:extent cx="720090" cy="955675"/>
                <wp:effectExtent l="0" t="0" r="0" b="0"/>
                <wp:wrapSquare wrapText="bothSides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3.1pt;mso-position-horizontal:absolute;mso-position-vertical-relative:text;margin-top:-11.5pt;mso-position-vertical:absolute;width:56.7pt;height:75.3pt;">
                <v:path textboxrect="0,0,0,0"/>
                <v:imagedata r:id="rId8" o:title=""/>
              </v:shape>
            </w:pict>
          </mc:Fallback>
        </mc:AlternateContent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rPr>
          <w:b/>
        </w:rPr>
      </w:pPr>
      <w:r>
        <w:rPr>
          <w:b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МИНИСТЕРСТВО СЕЛЬСКОГО ХОЗЯЙСТВА</w:t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 ПЕНЗЕНСКОЙ ОБЛАСТИ</w:t>
      </w:r>
      <w:r/>
    </w:p>
    <w:p>
      <w:pPr>
        <w:jc w:val="center"/>
        <w:rPr>
          <w:sz w:val="28"/>
        </w:rPr>
      </w:pPr>
      <w:r>
        <w:rPr>
          <w:sz w:val="28"/>
        </w:rPr>
      </w:r>
      <w:r/>
    </w:p>
    <w:p>
      <w:pPr>
        <w:jc w:val="center"/>
        <w:keepNext/>
        <w:rPr>
          <w:b/>
          <w:sz w:val="36"/>
          <w:szCs w:val="36"/>
        </w:rPr>
        <w:outlineLvl w:val="0"/>
      </w:pPr>
      <w:r>
        <w:rPr>
          <w:b/>
          <w:sz w:val="36"/>
          <w:szCs w:val="36"/>
        </w:rPr>
        <w:t xml:space="preserve">П</w:t>
      </w:r>
      <w:r>
        <w:rPr>
          <w:b/>
          <w:sz w:val="36"/>
          <w:szCs w:val="36"/>
        </w:rPr>
        <w:t xml:space="preserve"> Р И К А З</w:t>
      </w:r>
      <w:r/>
    </w:p>
    <w:p>
      <w:pPr>
        <w:ind w:firstLine="720"/>
        <w:rPr>
          <w:sz w:val="28"/>
        </w:rPr>
      </w:pPr>
      <w:r>
        <w:rPr>
          <w:sz w:val="28"/>
        </w:rPr>
        <w:t xml:space="preserve">                                                           </w:t>
      </w:r>
      <w:r/>
    </w:p>
    <w:p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>
        <w:rPr>
          <w:i/>
          <w:sz w:val="27"/>
          <w:szCs w:val="27"/>
        </w:rPr>
        <w:t xml:space="preserve"> </w:t>
      </w:r>
      <w:r>
        <w:rPr>
          <w:sz w:val="27"/>
          <w:szCs w:val="27"/>
        </w:rPr>
        <w:t xml:space="preserve">________________________ № ____</w:t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Пенза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9855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9853" w:type="dxa"/>
            <w:textDirection w:val="lrTb"/>
            <w:noWrap w:val="false"/>
          </w:tcPr>
          <w:tbl>
            <w:tblPr>
              <w:tblW w:w="11193" w:type="dxa"/>
              <w:tblLook w:val="01E0" w:firstRow="1" w:lastRow="1" w:firstColumn="1" w:lastColumn="1" w:noHBand="0" w:noVBand="0"/>
            </w:tblPr>
            <w:tblGrid>
              <w:gridCol w:w="6094"/>
              <w:gridCol w:w="5099"/>
            </w:tblGrid>
            <w:tr>
              <w:trPr/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6094" w:type="dxa"/>
                  <w:textDirection w:val="lrTb"/>
                  <w:noWrap w:val="false"/>
                </w:tcPr>
                <w:p>
                  <w:pPr>
                    <w:pStyle w:val="651"/>
                    <w:jc w:val="both"/>
                    <w:rPr>
                      <w:rFonts w:ascii="PT Astra Serif" w:hAnsi="PT Astra Serif"/>
                      <w:sz w:val="28"/>
                      <w:szCs w:val="28"/>
                      <w:highlight w:val="white"/>
                    </w:rPr>
                  </w:pP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  <w:highlight w:val="white"/>
                    </w:rPr>
                    <w:t xml:space="preserve">Об утверждении </w:t>
                  </w:r>
                  <w:r>
                    <w:rPr>
                      <w:rFonts w:ascii="Times New Roman" w:hAnsi="Times New Roman" w:eastAsia="Calibri Light"/>
                      <w:b w:val="false"/>
                      <w:sz w:val="28"/>
                      <w:szCs w:val="28"/>
                      <w:highlight w:val="white"/>
                    </w:rPr>
                    <w:t xml:space="preserve">Доклада о правоприменительной практике при осуществлении</w:t>
                  </w:r>
                  <w:r>
                    <w:rPr>
                      <w:rFonts w:ascii="Times New Roman" w:hAnsi="Times New Roman" w:eastAsia="Calibri Light"/>
                      <w:b w:val="false"/>
                      <w:sz w:val="28"/>
                      <w:szCs w:val="28"/>
                      <w:highlight w:val="white"/>
                    </w:rPr>
                    <w:t xml:space="preserve"> регионального государственного контроля (надзора) </w:t>
                  </w: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  <w:highlight w:val="white"/>
                    </w:rPr>
                    <w:t xml:space="preserve">в области </w:t>
                  </w:r>
                  <w:bookmarkStart w:id="0" w:name="_Hlk190102399"/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  <w:highlight w:val="white"/>
                    </w:rPr>
                    <w:t xml:space="preserve">продажи безалкогольных тонизирующих напитков (в том числе энергетических)</w:t>
                  </w:r>
                  <w:bookmarkEnd w:id="0"/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  <w:highlight w:val="white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false"/>
                      <w:color w:val="000000"/>
                      <w:sz w:val="28"/>
                      <w:szCs w:val="28"/>
                      <w:highlight w:val="white"/>
                    </w:rPr>
                    <w:t xml:space="preserve">на территории</w:t>
                  </w: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  <w:highlight w:val="white"/>
                    </w:rPr>
                    <w:t xml:space="preserve"> Пензенской</w:t>
                  </w:r>
                  <w:r>
                    <w:rPr>
                      <w:rFonts w:ascii="Times New Roman" w:hAnsi="Times New Roman"/>
                      <w:b w:val="false"/>
                      <w:sz w:val="28"/>
                      <w:szCs w:val="28"/>
                      <w:highlight w:val="white"/>
                    </w:rPr>
                    <w:t xml:space="preserve"> области за 2025 год</w:t>
                  </w:r>
                  <w:r/>
                </w:p>
              </w:tc>
              <w:tc>
                <w:tcPr>
                  <w:tcBorders>
                    <w:left w:val="none" w:color="000000" w:sz="0" w:space="0"/>
                    <w:top w:val="none" w:color="000000" w:sz="0" w:space="0"/>
                    <w:right w:val="none" w:color="000000" w:sz="0" w:space="0"/>
                    <w:bottom w:val="none" w:color="000000" w:sz="0" w:space="0"/>
                  </w:tcBorders>
                  <w:tcW w:w="5099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highlight w:val="white"/>
                    </w:rPr>
                  </w:pPr>
                  <w:r>
                    <w:rPr>
                      <w:sz w:val="28"/>
                      <w:szCs w:val="28"/>
                      <w:highlight w:val="white"/>
                    </w:rPr>
                  </w:r>
                  <w:r/>
                </w:p>
              </w:tc>
            </w:tr>
          </w:tbl>
          <w:p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/>
          </w:p>
        </w:tc>
      </w:tr>
    </w:tbl>
    <w:p>
      <w:pPr>
        <w:pStyle w:val="657"/>
        <w:ind w:firstLine="708"/>
        <w:jc w:val="both"/>
        <w:spacing w:after="0"/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В соответствии со статьей 47 Федерального закона от 31.07.2020 </w:t>
      </w:r>
      <w:r>
        <w:rPr>
          <w:sz w:val="28"/>
          <w:szCs w:val="28"/>
          <w:highlight w:val="white"/>
          <w:lang w:val="ru-RU"/>
        </w:rPr>
        <w:br/>
      </w:r>
      <w:r>
        <w:rPr>
          <w:sz w:val="28"/>
          <w:szCs w:val="28"/>
          <w:highlight w:val="white"/>
          <w:lang w:val="ru-RU"/>
        </w:rPr>
        <w:t xml:space="preserve">№ 248-ФЗ «О государственном контроле (надзоре) и муниципальном контроле в Российской Федерации» (с последующими изменениями), постановлением Правительства Пензенской области от 14.07.2025 № 644-пП «Об утверждении Положения о региональном государственном ко</w:t>
      </w:r>
      <w:r>
        <w:rPr>
          <w:sz w:val="28"/>
          <w:szCs w:val="28"/>
          <w:highlight w:val="white"/>
          <w:lang w:val="ru-RU"/>
        </w:rPr>
        <w:t xml:space="preserve">нтроле (надзоре) в области продажи безалкогольных тонизирующих напитков (в том числе энергетических) на территории Пензенской области», приказом Министерства сельского хозяйства Пензенской области от 19.12.2025</w:t>
      </w:r>
      <w:r>
        <w:rPr>
          <w:sz w:val="28"/>
          <w:szCs w:val="28"/>
          <w:highlight w:val="white"/>
          <w:lang w:val="ru-RU"/>
        </w:rPr>
        <w:t xml:space="preserve"> № 70</w:t>
      </w:r>
      <w:r>
        <w:rPr>
          <w:sz w:val="28"/>
          <w:szCs w:val="28"/>
          <w:lang w:val="ru-RU"/>
        </w:rPr>
        <w:t xml:space="preserve">2 «Об утверждении Программы профилактики </w:t>
      </w:r>
      <w:r>
        <w:rPr>
          <w:sz w:val="28"/>
          <w:szCs w:val="28"/>
          <w:lang w:val="ru-RU"/>
        </w:rPr>
        <w:t xml:space="preserve">рисков причинения вреда (ущерба) охраняемым законом ценностям при осуществлении регионального государственного контроля (надзора) в области продажи безалкогольных тонизирующих напитков (в том числе энергетических) на территории Пензенской области на 2026 г</w:t>
      </w:r>
      <w:r>
        <w:rPr>
          <w:sz w:val="28"/>
          <w:szCs w:val="28"/>
          <w:lang w:val="ru-RU"/>
        </w:rPr>
        <w:t xml:space="preserve">од», руководствуясь постановлением Правительства Пензенской области от 10.02.2009 № 99-пП «Об утверждении Положения о Министерстве сельского хозяйства Пензенской области» (с последующими изменениями),</w:t>
      </w:r>
      <w:r/>
    </w:p>
    <w:p>
      <w:pPr>
        <w:contextualSpacing w:val="tru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 Р И К А З Ы В А Ю:</w:t>
      </w:r>
      <w:r/>
    </w:p>
    <w:p>
      <w:pPr>
        <w:pStyle w:val="64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Доклад </w:t>
      </w:r>
      <w:r>
        <w:rPr>
          <w:sz w:val="28"/>
          <w:szCs w:val="28"/>
        </w:rPr>
        <w:t xml:space="preserve">с обобщением правоприменительной практики при осуществлении регионального государственного</w:t>
      </w:r>
      <w:r>
        <w:rPr>
          <w:bCs/>
          <w:sz w:val="28"/>
          <w:szCs w:val="28"/>
        </w:rPr>
        <w:t xml:space="preserve"> контроля (надзора) в области продажи безалкогольных тонизирующих напитков (в том числе энергетических) на территории Пензенской области за 2025 год</w:t>
      </w:r>
      <w:r>
        <w:rPr>
          <w:sz w:val="28"/>
          <w:szCs w:val="28"/>
        </w:rPr>
        <w:t xml:space="preserve">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Настоящий при</w:t>
      </w:r>
      <w:r>
        <w:rPr>
          <w:sz w:val="28"/>
          <w:szCs w:val="28"/>
        </w:rPr>
        <w:t xml:space="preserve">каз разместить на официальном сайте Министерства сельского хозяйства Пензенской области в информационно – телекоммуникационной сети «Интернет» (</w:t>
      </w:r>
      <w:r>
        <w:rPr>
          <w:sz w:val="28"/>
          <w:szCs w:val="28"/>
          <w:lang w:val="en-US"/>
        </w:rPr>
        <w:t xml:space="preserve">https</w:t>
      </w:r>
      <w:r>
        <w:rPr>
          <w:sz w:val="28"/>
          <w:szCs w:val="28"/>
        </w:rPr>
        <w:t xml:space="preserve">://</w:t>
      </w:r>
      <w:r>
        <w:rPr>
          <w:sz w:val="28"/>
          <w:szCs w:val="28"/>
          <w:lang w:val="en-US"/>
        </w:rPr>
        <w:t xml:space="preserve">mcx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pnzreg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приказа возложить на заместителя Министра - началь</w:t>
      </w:r>
      <w:r>
        <w:rPr>
          <w:sz w:val="28"/>
          <w:szCs w:val="28"/>
        </w:rPr>
        <w:t xml:space="preserve">ника управления рынка продовольствия и лицензирования Министерства сельского хозяйства Пензенской области.</w:t>
      </w:r>
      <w:r/>
    </w:p>
    <w:p>
      <w:pPr>
        <w:ind w:firstLine="7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/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both"/>
        <w:tabs>
          <w:tab w:val="left" w:pos="201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rFonts w:ascii="Times New Roman" w:hAnsi="Times New Roman" w:cs="Times New Roman" w:eastAsia="Times New Roman"/>
          <w:sz w:val="28"/>
        </w:rPr>
        <w:t xml:space="preserve">Первый заместитель Министра</w:t>
      </w:r>
      <w:r>
        <w:rPr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 w:eastAsia="Times New Roman"/>
          <w:sz w:val="28"/>
        </w:rPr>
        <w:t xml:space="preserve">Э.Н. Каташов</w:t>
      </w:r>
      <w:r/>
      <w:r>
        <w:rPr>
          <w:sz w:val="28"/>
          <w:szCs w:val="28"/>
        </w:rPr>
      </w:r>
      <w:r/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/>
    </w:p>
    <w:p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/>
    </w:p>
    <w:p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br w:type="page"/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ind w:firstLine="709"/>
        <w:jc w:val="right"/>
        <w:spacing w:lineRule="auto" w:line="276"/>
      </w:pPr>
      <w:r>
        <w:rPr>
          <w:sz w:val="28"/>
          <w:szCs w:val="28"/>
        </w:rPr>
        <w:t xml:space="preserve">Утвержден</w:t>
      </w:r>
      <w:r/>
    </w:p>
    <w:p>
      <w:pPr>
        <w:ind w:firstLine="709"/>
        <w:jc w:val="right"/>
        <w:spacing w:lineRule="auto" w:line="276"/>
      </w:pPr>
      <w:r>
        <w:rPr>
          <w:sz w:val="28"/>
          <w:szCs w:val="28"/>
        </w:rPr>
        <w:t xml:space="preserve">приказом Министерства сельского</w:t>
      </w:r>
      <w:r/>
    </w:p>
    <w:p>
      <w:pPr>
        <w:ind w:firstLine="709"/>
        <w:jc w:val="right"/>
        <w:spacing w:lineRule="auto" w:line="276"/>
      </w:pPr>
      <w:r>
        <w:rPr>
          <w:sz w:val="28"/>
          <w:szCs w:val="28"/>
        </w:rPr>
        <w:t xml:space="preserve"> хозяйства Пензенской области</w:t>
      </w:r>
      <w:r/>
    </w:p>
    <w:p>
      <w:pPr>
        <w:jc w:val="center"/>
        <w:tabs>
          <w:tab w:val="left" w:pos="2325" w:leader="none"/>
        </w:tabs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от ________________ № _____</w:t>
      </w:r>
      <w:r/>
    </w:p>
    <w:p>
      <w:pPr>
        <w:jc w:val="right"/>
      </w:pPr>
      <w:r/>
      <w:r/>
    </w:p>
    <w:p>
      <w:pPr>
        <w:jc w:val="center"/>
      </w:pPr>
      <w:r/>
      <w:r/>
    </w:p>
    <w:p>
      <w:pPr>
        <w:jc w:val="center"/>
      </w:pPr>
      <w:r>
        <w:rPr>
          <w:b/>
          <w:bCs/>
          <w:sz w:val="28"/>
          <w:szCs w:val="28"/>
        </w:rPr>
        <w:t xml:space="preserve">ДОКЛАД</w:t>
      </w:r>
      <w:r/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правоприменительной практике</w:t>
      </w:r>
      <w:r>
        <w:rPr>
          <w:bCs/>
          <w:sz w:val="28"/>
          <w:szCs w:val="28"/>
          <w:highlight w:val="white"/>
        </w:rPr>
        <w:t xml:space="preserve"> </w:t>
      </w:r>
      <w:r>
        <w:rPr>
          <w:rFonts w:eastAsia="Calibri Light"/>
          <w:sz w:val="28"/>
          <w:szCs w:val="28"/>
          <w:highlight w:val="white"/>
        </w:rPr>
        <w:t xml:space="preserve">при осуществлении</w:t>
      </w:r>
      <w:r>
        <w:rPr>
          <w:bCs/>
          <w:sz w:val="28"/>
          <w:szCs w:val="28"/>
        </w:rPr>
        <w:t xml:space="preserve"> регионального государственного контроля (надзора) в области безалкогольных тонизирующих напитков (в том числе энергетических) на территории Пензенской области в 2025 году</w:t>
      </w:r>
      <w:r/>
    </w:p>
    <w:p>
      <w:pPr>
        <w:jc w:val="center"/>
      </w:pPr>
      <w:r/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Общие положения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Настоящий доклад подготовлен управлением рынка продовольствия и ли</w:t>
      </w:r>
      <w:r>
        <w:rPr>
          <w:color w:val="000000"/>
          <w:sz w:val="28"/>
          <w:szCs w:val="28"/>
        </w:rPr>
        <w:t xml:space="preserve">цензирования Министерства сельского хозяйства Пензенской области (далее – Управле</w:t>
      </w:r>
      <w:r>
        <w:rPr>
          <w:sz w:val="28"/>
          <w:szCs w:val="28"/>
        </w:rPr>
        <w:t xml:space="preserve">ние, Министерство) в соответствии с полномочиями по осуществлению </w:t>
      </w:r>
      <w:r>
        <w:rPr>
          <w:bCs/>
          <w:sz w:val="28"/>
          <w:szCs w:val="28"/>
        </w:rPr>
        <w:t xml:space="preserve"> регионального государственного контроля (надзора) в области безалкогольных тонизирующих напитков (в том числ</w:t>
      </w:r>
      <w:r>
        <w:rPr>
          <w:bCs/>
          <w:sz w:val="28"/>
          <w:szCs w:val="28"/>
        </w:rPr>
        <w:t xml:space="preserve">е энергетических) на территории Пензенской области</w:t>
      </w:r>
      <w:r>
        <w:rPr>
          <w:sz w:val="28"/>
          <w:szCs w:val="28"/>
        </w:rPr>
        <w:t xml:space="preserve">  (далее – Надзор).</w:t>
      </w:r>
      <w:r/>
    </w:p>
    <w:p>
      <w:pPr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Управление осуществляет свои полномочия согласно </w:t>
      </w:r>
      <w:r>
        <w:rPr>
          <w:sz w:val="28"/>
          <w:szCs w:val="28"/>
        </w:rPr>
        <w:t xml:space="preserve">Положени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о Министерстве сельского хозяйства Пензенской области</w:t>
      </w:r>
      <w:r>
        <w:rPr>
          <w:sz w:val="28"/>
          <w:szCs w:val="28"/>
        </w:rPr>
        <w:t xml:space="preserve">, утвержденному  постановлением</w:t>
      </w:r>
      <w:r>
        <w:rPr>
          <w:sz w:val="28"/>
          <w:szCs w:val="28"/>
        </w:rPr>
        <w:t xml:space="preserve"> Правительства Пензенской области от 10.02.2009 № 99-</w:t>
      </w:r>
      <w:r>
        <w:rPr>
          <w:sz w:val="28"/>
          <w:szCs w:val="28"/>
        </w:rPr>
        <w:t xml:space="preserve">пП </w:t>
      </w:r>
      <w:r>
        <w:rPr>
          <w:sz w:val="28"/>
          <w:szCs w:val="28"/>
        </w:rPr>
        <w:t xml:space="preserve"> (с последующими изменениями)</w:t>
      </w:r>
      <w:r>
        <w:rPr>
          <w:color w:val="000000"/>
          <w:sz w:val="28"/>
          <w:szCs w:val="28"/>
        </w:rPr>
        <w:t xml:space="preserve">. </w:t>
      </w:r>
      <w:r/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Основными задачами Управления являются предупреждение, выявление и пресечение нарушений организациями, индивидуальными предпринимателями, крестьянскими (фермерскими) хозяйствами без образования юридического лица,</w:t>
      </w:r>
      <w:r>
        <w:rPr>
          <w:color w:val="000000"/>
          <w:sz w:val="28"/>
          <w:szCs w:val="28"/>
        </w:rPr>
        <w:t xml:space="preserve"> гражданами Российской Федерации, иностранными гражданами и лицами без гражданства (далее - контролируемые лица) запретов и ограничений, установленных законодательством Российской Федерации в процессе </w:t>
      </w:r>
      <w:r>
        <w:rPr>
          <w:sz w:val="28"/>
          <w:szCs w:val="28"/>
        </w:rPr>
        <w:t xml:space="preserve">осуществления </w:t>
      </w:r>
      <w:r>
        <w:rPr>
          <w:bCs/>
          <w:sz w:val="28"/>
          <w:szCs w:val="28"/>
        </w:rPr>
        <w:t xml:space="preserve">деятельности в области реализации безалко</w:t>
      </w:r>
      <w:r>
        <w:rPr>
          <w:bCs/>
          <w:sz w:val="28"/>
          <w:szCs w:val="28"/>
        </w:rPr>
        <w:t xml:space="preserve">гольных тонизирующих напитков (в том числе энергетических)</w:t>
      </w:r>
      <w:r>
        <w:rPr>
          <w:color w:val="000000"/>
          <w:sz w:val="28"/>
          <w:szCs w:val="28"/>
        </w:rPr>
        <w:t xml:space="preserve">.</w:t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рамках осуществления Надзора Управление руководствуется следующими нормативными правовыми актами: </w:t>
      </w:r>
      <w:r/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6"/>
        </w:rPr>
        <w:t xml:space="preserve">- Федеральным законом от 08.08.2024 № 304-ФЗ «О запрете продажи безалкогольных тонизирующих нап</w:t>
      </w:r>
      <w:r>
        <w:rPr>
          <w:sz w:val="28"/>
          <w:szCs w:val="26"/>
        </w:rPr>
        <w:t xml:space="preserve">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Федерации»;</w:t>
      </w:r>
      <w:r/>
    </w:p>
    <w:p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Федеральным законом от 31.07.2020 № 248-ФЗ «О государственном</w:t>
      </w:r>
      <w:r>
        <w:rPr>
          <w:sz w:val="28"/>
          <w:szCs w:val="26"/>
        </w:rPr>
        <w:t xml:space="preserve"> контроле (надзоре) и муниципальном контроле в Российской Федерации»;</w:t>
      </w:r>
      <w:r/>
    </w:p>
    <w:p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</w:r>
      <w:r>
        <w:rPr>
          <w:sz w:val="28"/>
          <w:szCs w:val="26"/>
        </w:rPr>
        <w:t xml:space="preserve">- Постановлением Правительства РФ от 31.05.2023 № 887 «Об утверждении Правил маркировки отдельных видов безалкогольных напитков, в </w:t>
      </w:r>
      <w:r>
        <w:rPr>
          <w:sz w:val="28"/>
          <w:szCs w:val="26"/>
        </w:rPr>
        <w:t xml:space="preserve">том числе с соком, и соков средствами идентификации и </w:t>
      </w:r>
      <w:r>
        <w:rPr>
          <w:sz w:val="28"/>
          <w:szCs w:val="26"/>
        </w:rPr>
        <w:t xml:space="preserve">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безалкогольных напитков, в том числе с соком, и соков»; </w:t>
      </w:r>
      <w:r/>
    </w:p>
    <w:p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п</w:t>
      </w:r>
      <w:r>
        <w:rPr>
          <w:sz w:val="28"/>
          <w:szCs w:val="26"/>
        </w:rPr>
        <w:t xml:space="preserve">риказ </w:t>
      </w:r>
      <w:r>
        <w:rPr>
          <w:sz w:val="28"/>
          <w:szCs w:val="26"/>
        </w:rPr>
        <w:t xml:space="preserve">Минпро</w:t>
      </w:r>
      <w:r>
        <w:rPr>
          <w:sz w:val="28"/>
          <w:szCs w:val="26"/>
        </w:rPr>
        <w:t xml:space="preserve">мторга</w:t>
      </w:r>
      <w:r>
        <w:rPr>
          <w:sz w:val="28"/>
          <w:szCs w:val="26"/>
        </w:rPr>
        <w:t xml:space="preserve"> России от 07.02.2025 </w:t>
      </w:r>
      <w:r>
        <w:rPr>
          <w:sz w:val="28"/>
          <w:szCs w:val="26"/>
          <w:highlight w:val="white"/>
        </w:rPr>
        <w:t xml:space="preserve">№</w:t>
      </w:r>
      <w:r>
        <w:rPr>
          <w:sz w:val="28"/>
          <w:szCs w:val="26"/>
          <w:highlight w:val="white"/>
        </w:rPr>
        <w:t xml:space="preserve"> 536 </w:t>
      </w:r>
      <w:r>
        <w:rPr>
          <w:sz w:val="28"/>
          <w:szCs w:val="26"/>
          <w:highlight w:val="white"/>
        </w:rPr>
        <w:t xml:space="preserve">«</w:t>
      </w:r>
      <w:r>
        <w:rPr>
          <w:sz w:val="28"/>
          <w:szCs w:val="26"/>
        </w:rPr>
        <w:t xml:space="preserve">Об утверждении перечня документов, позволяющих установить возраст покупателя безалкогольных тонизирующих напитков (в том числе энергетических), которые вправе потребовать лицо, непосредственно осуществляющее продажу указа</w:t>
      </w:r>
      <w:r>
        <w:rPr>
          <w:sz w:val="28"/>
          <w:szCs w:val="26"/>
        </w:rPr>
        <w:t xml:space="preserve">нных напитков, в случае возникновения у него сомнения в достижении таким покупателем совершеннолетия»</w:t>
      </w:r>
      <w:r>
        <w:rPr>
          <w:sz w:val="28"/>
          <w:szCs w:val="26"/>
        </w:rPr>
        <w:t xml:space="preserve">;</w:t>
      </w:r>
      <w:r/>
    </w:p>
    <w:p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- Закон Пензенской обл. от 22.11.2024 № 4452-ЗПО «Об установлении запретов и ограничений торговли безалкогольными тонизирующими напитками (в том числе эн</w:t>
      </w:r>
      <w:r>
        <w:rPr>
          <w:sz w:val="28"/>
          <w:szCs w:val="26"/>
        </w:rPr>
        <w:t xml:space="preserve">ергетическими) на территории Пензенской области»;</w:t>
      </w:r>
      <w:r/>
    </w:p>
    <w:p>
      <w:pPr>
        <w:ind w:firstLine="708"/>
        <w:jc w:val="both"/>
        <w:rPr>
          <w:sz w:val="28"/>
          <w:szCs w:val="26"/>
        </w:rPr>
      </w:pPr>
      <w:r>
        <w:rPr>
          <w:sz w:val="28"/>
          <w:szCs w:val="28"/>
          <w:highlight w:val="white"/>
        </w:rPr>
        <w:t xml:space="preserve">- </w:t>
      </w:r>
      <w:r>
        <w:rPr>
          <w:sz w:val="28"/>
          <w:szCs w:val="28"/>
          <w:highlight w:val="white"/>
        </w:rPr>
        <w:t xml:space="preserve">постановление Правительства Пензенской области от 14.07.2025 </w:t>
      </w:r>
      <w:r>
        <w:rPr>
          <w:sz w:val="28"/>
          <w:szCs w:val="28"/>
          <w:highlight w:val="white"/>
        </w:rPr>
        <w:t xml:space="preserve">                       </w:t>
      </w:r>
      <w:r>
        <w:rPr>
          <w:sz w:val="28"/>
          <w:szCs w:val="28"/>
          <w:highlight w:val="white"/>
        </w:rPr>
        <w:t xml:space="preserve">№ 644-пП «Об утверждении Положения о региональном государственном контроле (надзоре) в области продажи безалкогольных тонизирующих напитков (в том числе энергетических) на территории Пензенской области»</w:t>
      </w:r>
      <w:r>
        <w:rPr>
          <w:sz w:val="28"/>
          <w:szCs w:val="26"/>
          <w:highlight w:val="white"/>
        </w:rPr>
        <w:t xml:space="preserve">.</w:t>
      </w:r>
      <w:bookmarkStart w:id="1" w:name="_GoBack"/>
      <w:r>
        <w:rPr>
          <w:highlight w:val="white"/>
        </w:rPr>
      </w:r>
      <w:bookmarkEnd w:id="1"/>
      <w:r>
        <w:rPr>
          <w:highlight w:val="white"/>
        </w:rPr>
      </w:r>
      <w:r/>
    </w:p>
    <w:p>
      <w:pPr>
        <w:ind w:firstLine="709"/>
        <w:jc w:val="both"/>
        <w:rPr>
          <w:color w:val="000000"/>
        </w:rPr>
      </w:pPr>
      <w:r>
        <w:rPr>
          <w:sz w:val="28"/>
          <w:szCs w:val="28"/>
        </w:rPr>
        <w:t xml:space="preserve">  Предметом государственного Надзора является соблюдение организациями, индивидуальными предпринимателями, крестьянскими (фермерскими) хозяйствами без образования юридического лица, гражданами Российской Фе</w:t>
      </w:r>
      <w:r>
        <w:rPr>
          <w:sz w:val="28"/>
          <w:szCs w:val="28"/>
        </w:rPr>
        <w:t xml:space="preserve">дерации, иностранными гражданами и лицами без гражданства  запретов и ограничений, установленных</w:t>
      </w:r>
      <w:r>
        <w:rPr>
          <w:color w:val="000000"/>
          <w:sz w:val="28"/>
          <w:szCs w:val="28"/>
        </w:rPr>
        <w:t xml:space="preserve"> законодательством Российской Федерации</w:t>
      </w:r>
      <w:r>
        <w:rPr>
          <w:sz w:val="28"/>
          <w:szCs w:val="28"/>
        </w:rPr>
        <w:t xml:space="preserve">.</w:t>
      </w:r>
      <w:r/>
    </w:p>
    <w:p>
      <w:pPr>
        <w:jc w:val="both"/>
      </w:pPr>
      <w:r/>
      <w:r/>
    </w:p>
    <w:p>
      <w:pPr>
        <w:ind w:firstLine="709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Задачи обобщения и анализа </w:t>
      </w:r>
      <w:r/>
    </w:p>
    <w:p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правоприменительной практики</w:t>
      </w:r>
      <w:r/>
    </w:p>
    <w:p>
      <w:pPr>
        <w:ind w:firstLine="709"/>
        <w:jc w:val="center"/>
        <w:rPr>
          <w:color w:val="000000"/>
        </w:rPr>
      </w:pPr>
      <w:r>
        <w:rPr>
          <w:color w:val="000000"/>
        </w:rPr>
      </w:r>
      <w:r/>
    </w:p>
    <w:p>
      <w:pPr>
        <w:ind w:firstLine="709"/>
        <w:jc w:val="both"/>
        <w:rPr>
          <w:color w:val="000000"/>
        </w:rPr>
      </w:pPr>
      <w:r>
        <w:rPr>
          <w:color w:val="000000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Задачами обобщения правоприменительной практики являются: 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-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(надзоре);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- выявление типичных нарушений обязательных требований, причин, факторов и условий, способствующих возникновению указанных нарушений;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- анализ случаев причинения вреда (ущерба) охраняемым законом ценностям, выявление источников и факторов риска причинения </w:t>
      </w:r>
      <w:r>
        <w:rPr>
          <w:sz w:val="28"/>
          <w:szCs w:val="26"/>
        </w:rPr>
        <w:t xml:space="preserve">вреда (ущерба);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- подготовка предложений об актуализации обязательных требований;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- подготовка предложений о внесении изменений в законодательство Российской Федерации о государственном контроле (надзоре).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Министерство в соответствии с Положением, утвержде</w:t>
      </w:r>
      <w:r>
        <w:rPr>
          <w:sz w:val="28"/>
          <w:szCs w:val="26"/>
        </w:rPr>
        <w:t xml:space="preserve">нным постановлением </w:t>
      </w:r>
      <w:r>
        <w:rPr>
          <w:sz w:val="28"/>
          <w:szCs w:val="28"/>
        </w:rPr>
        <w:t xml:space="preserve"> Правительства Пензенской области от 10.02.2009 № 99-пП</w:t>
      </w:r>
      <w:r>
        <w:rPr>
          <w:sz w:val="28"/>
          <w:szCs w:val="26"/>
        </w:rPr>
        <w:t xml:space="preserve">, является исполнительным органом Пензенской области, осуществляющим </w:t>
      </w:r>
      <w:r>
        <w:rPr>
          <w:sz w:val="28"/>
          <w:szCs w:val="26"/>
        </w:rPr>
        <w:t xml:space="preserve">региональный государственный контроль (надзор) в области продажи безалкогольных тонизирующих напитков (в том чис</w:t>
      </w:r>
      <w:r>
        <w:rPr>
          <w:sz w:val="28"/>
          <w:szCs w:val="26"/>
        </w:rPr>
        <w:t xml:space="preserve">ле энергетических) 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Подконтрольными субъектами, в отношении которых Министерством могут проводит</w:t>
      </w:r>
      <w:r>
        <w:rPr>
          <w:sz w:val="28"/>
          <w:szCs w:val="26"/>
          <w:highlight w:val="white"/>
        </w:rPr>
        <w:t xml:space="preserve">ь</w:t>
      </w:r>
      <w:r>
        <w:rPr>
          <w:sz w:val="28"/>
          <w:szCs w:val="26"/>
        </w:rPr>
        <w:t xml:space="preserve">ся контрольно-надзорные и профилактические мероприятия, являются физические лица (</w:t>
      </w:r>
      <w:r>
        <w:rPr>
          <w:bCs/>
          <w:sz w:val="28"/>
          <w:szCs w:val="26"/>
        </w:rPr>
        <w:t xml:space="preserve">граждане, иностранные граждане, лица без гражданства), должностные лица (в том</w:t>
      </w:r>
      <w:r>
        <w:rPr>
          <w:bCs/>
          <w:sz w:val="28"/>
          <w:szCs w:val="26"/>
        </w:rPr>
        <w:t xml:space="preserve"> числе индивидуальные предприниматели).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 Точное количество подконтрольных субъектов определить не представляется возможным, в виду наличия нелегального рынка продажи безалкогольных напитков, в обход системы ГИС МТ Честный знак.  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Объектом регионального кон</w:t>
      </w:r>
      <w:r>
        <w:rPr>
          <w:sz w:val="28"/>
          <w:szCs w:val="26"/>
        </w:rPr>
        <w:t xml:space="preserve">троля является продажа безалкогольных тонизирующих напитков (в том числе энергетических). 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В соответствии с Решением Комиссии Таможенного союза от 09.12.2011 № 880 «</w:t>
      </w:r>
      <w:r>
        <w:rPr>
          <w:sz w:val="28"/>
          <w:szCs w:val="26"/>
        </w:rPr>
        <w:t xml:space="preserve">О принятии технического регламента Таможенного союза «</w:t>
      </w:r>
      <w:r>
        <w:rPr>
          <w:sz w:val="28"/>
          <w:szCs w:val="26"/>
        </w:rPr>
        <w:t xml:space="preserve">О безопасности пищевой продукции»</w:t>
      </w:r>
      <w:r>
        <w:rPr>
          <w:sz w:val="28"/>
          <w:szCs w:val="26"/>
        </w:rPr>
        <w:t xml:space="preserve"> тон</w:t>
      </w:r>
      <w:r>
        <w:rPr>
          <w:sz w:val="28"/>
          <w:szCs w:val="26"/>
        </w:rPr>
        <w:t xml:space="preserve">изирующие напитки - безалкогольные и слабоалкогольные напитки, содержащие тонизирующие вещества (компоненты), в том числе растительного происхождения, в количестве, достаточном для обеспечения тонизирующего эффекта на организм человека, за исключением чая,</w:t>
      </w:r>
      <w:r>
        <w:rPr>
          <w:sz w:val="28"/>
          <w:szCs w:val="26"/>
        </w:rPr>
        <w:t xml:space="preserve"> кофе и напитков на их основе.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Чтобы определить, относятся ли </w:t>
      </w:r>
      <w:r>
        <w:rPr>
          <w:sz w:val="28"/>
          <w:szCs w:val="26"/>
        </w:rPr>
        <w:t xml:space="preserve">кофеинсодержащие</w:t>
      </w:r>
      <w:r>
        <w:rPr>
          <w:sz w:val="28"/>
          <w:szCs w:val="26"/>
        </w:rPr>
        <w:t xml:space="preserve"> напитки (пепси, кола и др.) к безалкогольным тонизирующим напиткам, подпадающим под запрет, нужно руководствоваться сведениями на потребительской упаковке о содержании кофеина и</w:t>
      </w:r>
      <w:r>
        <w:rPr>
          <w:sz w:val="28"/>
          <w:szCs w:val="26"/>
        </w:rPr>
        <w:t xml:space="preserve"> других тонизирующих веществ.</w:t>
      </w:r>
      <w:r/>
    </w:p>
    <w:p>
      <w:pPr>
        <w:ind w:firstLine="709"/>
        <w:jc w:val="both"/>
        <w:rPr>
          <w:sz w:val="28"/>
        </w:rPr>
      </w:pPr>
      <w:r>
        <w:rPr>
          <w:sz w:val="28"/>
          <w:szCs w:val="26"/>
        </w:rPr>
        <w:t xml:space="preserve">Согласно п</w:t>
      </w:r>
      <w:r>
        <w:rPr>
          <w:sz w:val="28"/>
          <w:szCs w:val="26"/>
        </w:rPr>
        <w:t xml:space="preserve">исьму </w:t>
      </w:r>
      <w:r>
        <w:rPr>
          <w:sz w:val="28"/>
          <w:szCs w:val="26"/>
        </w:rPr>
        <w:t xml:space="preserve">Роспотребнадзора</w:t>
      </w:r>
      <w:r>
        <w:rPr>
          <w:sz w:val="28"/>
          <w:szCs w:val="26"/>
        </w:rPr>
        <w:t xml:space="preserve"> от 10.04.2025 № 09-5220-2025-05 в безалкогольных тонизирующих напитках содержится не менее 0,151 мг/см3 и не более 0,4 мг/см3 кофеина. Напитки, в которых содержание кофеина превышает 150 мг/л (</w:t>
      </w:r>
      <w:r>
        <w:rPr>
          <w:sz w:val="28"/>
          <w:szCs w:val="26"/>
        </w:rPr>
        <w:t xml:space="preserve">0,150 мг/дм3), должны маркироваться определенной надписью </w:t>
      </w:r>
      <w:r>
        <w:rPr>
          <w:iCs/>
          <w:sz w:val="28"/>
          <w:szCs w:val="26"/>
        </w:rPr>
        <w:t xml:space="preserve">«</w:t>
      </w:r>
      <w:r>
        <w:rPr>
          <w:iCs/>
          <w:sz w:val="28"/>
          <w:szCs w:val="26"/>
        </w:rPr>
        <w:t xml:space="preserve">Не рекомендуется употребление детьми в возрасте до 18 лет, при беременности и кормлении грудью, а также лицами, страдающими повышенной нервной возбудимостью, бессонницей, артериальной гипертензией»</w:t>
      </w:r>
      <w:r>
        <w:rPr>
          <w:sz w:val="28"/>
          <w:szCs w:val="26"/>
        </w:rPr>
        <w:t xml:space="preserve">.</w:t>
      </w:r>
      <w:r/>
    </w:p>
    <w:p>
      <w:pPr>
        <w:pStyle w:val="658"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/>
    </w:p>
    <w:p>
      <w:pPr>
        <w:pStyle w:val="658"/>
        <w:ind w:firstLine="709"/>
        <w:jc w:val="center"/>
        <w:rPr>
          <w:rFonts w:eastAsia="Calibri"/>
          <w:b/>
          <w:sz w:val="28"/>
          <w:szCs w:val="26"/>
          <w:highlight w:val="white"/>
        </w:rPr>
      </w:pPr>
      <w:r>
        <w:rPr>
          <w:rFonts w:eastAsia="Calibri"/>
          <w:b/>
          <w:sz w:val="28"/>
          <w:szCs w:val="26"/>
          <w:lang w:eastAsia="en-US"/>
        </w:rPr>
        <w:t xml:space="preserve">Особенности осуществления</w:t>
      </w:r>
      <w:r>
        <w:rPr>
          <w:rFonts w:eastAsia="Calibri"/>
          <w:b/>
          <w:sz w:val="28"/>
          <w:szCs w:val="26"/>
          <w:highlight w:val="white"/>
          <w:lang w:eastAsia="en-US"/>
        </w:rPr>
        <w:t xml:space="preserve"> Надзора в 2025 году</w:t>
      </w:r>
      <w:r/>
    </w:p>
    <w:p>
      <w:pPr>
        <w:pStyle w:val="658"/>
        <w:ind w:firstLine="709"/>
        <w:jc w:val="center"/>
        <w:rPr>
          <w:rFonts w:eastAsia="Calibri"/>
          <w:b/>
          <w:sz w:val="28"/>
          <w:szCs w:val="28"/>
          <w:highlight w:val="white"/>
        </w:rPr>
      </w:pPr>
      <w:r>
        <w:rPr>
          <w:rFonts w:eastAsia="Calibri"/>
          <w:b/>
          <w:sz w:val="28"/>
          <w:szCs w:val="28"/>
          <w:highlight w:val="white"/>
        </w:rPr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6"/>
          <w:highlight w:val="white"/>
        </w:rPr>
        <w:t xml:space="preserve">В соответствии с Положением о региональном государственном контроле </w:t>
      </w:r>
      <w:r>
        <w:rPr>
          <w:sz w:val="28"/>
          <w:szCs w:val="26"/>
          <w:highlight w:val="white"/>
        </w:rPr>
        <w:t xml:space="preserve">плановые</w:t>
      </w:r>
      <w:r>
        <w:rPr>
          <w:sz w:val="28"/>
          <w:szCs w:val="26"/>
          <w:highlight w:val="white"/>
        </w:rPr>
        <w:t xml:space="preserve"> контрольные (надзорные) мероприятий не проводятся.</w:t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6"/>
          <w:highlight w:val="white"/>
        </w:rPr>
        <w:t xml:space="preserve">В связи с </w:t>
      </w:r>
      <w:r>
        <w:rPr>
          <w:sz w:val="28"/>
          <w:szCs w:val="26"/>
          <w:highlight w:val="white"/>
        </w:rPr>
        <w:t xml:space="preserve">наделением Министерства</w:t>
      </w:r>
      <w:r>
        <w:rPr>
          <w:sz w:val="28"/>
          <w:szCs w:val="26"/>
          <w:highlight w:val="white"/>
        </w:rPr>
        <w:t xml:space="preserve"> </w:t>
      </w:r>
      <w:r>
        <w:rPr>
          <w:sz w:val="28"/>
          <w:szCs w:val="26"/>
          <w:highlight w:val="white"/>
        </w:rPr>
        <w:t xml:space="preserve">полномочиями</w:t>
      </w:r>
      <w:r>
        <w:rPr>
          <w:sz w:val="28"/>
          <w:szCs w:val="26"/>
          <w:highlight w:val="white"/>
        </w:rPr>
        <w:t xml:space="preserve"> на осуществление </w:t>
      </w:r>
      <w:r>
        <w:rPr>
          <w:sz w:val="28"/>
          <w:szCs w:val="26"/>
          <w:highlight w:val="white"/>
        </w:rPr>
        <w:t xml:space="preserve">Надзора</w:t>
      </w:r>
      <w:r>
        <w:rPr>
          <w:sz w:val="28"/>
          <w:szCs w:val="26"/>
          <w:highlight w:val="white"/>
        </w:rPr>
        <w:t xml:space="preserve"> </w:t>
      </w:r>
      <w:r>
        <w:rPr>
          <w:sz w:val="28"/>
          <w:szCs w:val="26"/>
          <w:highlight w:val="white"/>
        </w:rPr>
        <w:t xml:space="preserve">только в июле 2025 года, программа профилактики на 2025 год не утверждалась.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6"/>
          <w:highlight w:val="white"/>
        </w:rPr>
        <w:t xml:space="preserve">Тем не менее, в рамках Надзора Министе</w:t>
      </w:r>
      <w:r>
        <w:rPr>
          <w:sz w:val="28"/>
          <w:szCs w:val="26"/>
        </w:rPr>
        <w:t xml:space="preserve">рством проводилась работа с обращениями граждан, организаций по разъяснению обязательных требованиях в данной сфере регул</w:t>
      </w:r>
      <w:r>
        <w:rPr>
          <w:sz w:val="28"/>
          <w:szCs w:val="26"/>
        </w:rPr>
        <w:t xml:space="preserve">ирования.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В целях предупреждения нарушений обязательных требований (снижение числа нарушений обязательных требований) в подконтрольной сфере Министерством проведены  следующие мероприятия по профилактике </w:t>
      </w:r>
      <w:r>
        <w:rPr>
          <w:sz w:val="28"/>
          <w:szCs w:val="26"/>
        </w:rPr>
        <w:t xml:space="preserve">нарушений </w:t>
      </w:r>
      <w:r>
        <w:rPr>
          <w:sz w:val="28"/>
          <w:szCs w:val="26"/>
        </w:rPr>
        <w:t xml:space="preserve">законодательства</w:t>
      </w:r>
      <w:r>
        <w:rPr>
          <w:sz w:val="28"/>
          <w:szCs w:val="26"/>
        </w:rPr>
        <w:t xml:space="preserve"> в сфере продажи безалкого</w:t>
      </w:r>
      <w:r>
        <w:rPr>
          <w:sz w:val="28"/>
          <w:szCs w:val="26"/>
        </w:rPr>
        <w:t xml:space="preserve">льных тонизирующих напитков: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на официальном сайте Министерства в информационно-коммуникационной сети «Интернет» (далее – сайт Министерства) создан специальный раздел, содержащий информацию по обязательным требованиям в сфере продажи безалкогольных тонизи</w:t>
      </w:r>
      <w:r>
        <w:rPr>
          <w:sz w:val="28"/>
          <w:szCs w:val="26"/>
        </w:rPr>
        <w:t xml:space="preserve">рующих напитков, а также памятка по данному виду контроля; 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- осуществляется регулярное информирование контролируемых лиц по вопросам соблюдения обязательных требований;</w:t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6"/>
        </w:rPr>
        <w:t xml:space="preserve">- ежедневно, в текущем рабочем режиме, должностными лицами </w:t>
      </w:r>
      <w:r>
        <w:rPr>
          <w:sz w:val="28"/>
          <w:szCs w:val="26"/>
          <w:highlight w:val="white"/>
        </w:rPr>
        <w:t xml:space="preserve">Министерства</w:t>
      </w:r>
      <w:r>
        <w:rPr>
          <w:sz w:val="28"/>
          <w:szCs w:val="26"/>
          <w:highlight w:val="white"/>
        </w:rPr>
        <w:t xml:space="preserve"> проводятся индивидуальные консультации для контролируемых лиц (при личном посещении органа, посредством обращения  на адрес электронной почты,  по телефону, через сайт Министерства, а также в форме консультирования и информирования участников рынка непоср</w:t>
      </w:r>
      <w:r>
        <w:rPr>
          <w:sz w:val="28"/>
          <w:szCs w:val="26"/>
          <w:highlight w:val="white"/>
        </w:rPr>
        <w:t xml:space="preserve">едственно в местах осуществления ими предпринимательской деятельности).</w:t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6"/>
          <w:highlight w:val="white"/>
        </w:rPr>
        <w:t xml:space="preserve">Всего по состоянию на 30.12.2025 года проведено более 86 профилактических мероприяти</w:t>
      </w:r>
      <w:r>
        <w:rPr>
          <w:sz w:val="28"/>
          <w:szCs w:val="26"/>
          <w:highlight w:val="white"/>
        </w:rPr>
        <w:t xml:space="preserve">й</w:t>
      </w:r>
      <w:r>
        <w:rPr>
          <w:sz w:val="28"/>
          <w:szCs w:val="26"/>
          <w:highlight w:val="white"/>
        </w:rPr>
        <w:t xml:space="preserve"> (информирование, консультирование).</w:t>
      </w:r>
      <w:r/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6"/>
          <w:highlight w:val="white"/>
        </w:rPr>
        <w:t xml:space="preserve">Надзор в 2025 году в соответствии с  постановлением Правительс</w:t>
      </w:r>
      <w:r>
        <w:rPr>
          <w:sz w:val="28"/>
          <w:szCs w:val="26"/>
          <w:highlight w:val="white"/>
        </w:rPr>
        <w:t xml:space="preserve">тва Российской Федерации от 10.03.2022 № 336 «Об особенностях организации и осуществления государственного контроля (надзора), муниципального контроля» ориентирован на профилактическую работу. Согласно действующему законодательству проведение внеплановых к</w:t>
      </w:r>
      <w:r>
        <w:rPr>
          <w:sz w:val="28"/>
          <w:szCs w:val="26"/>
          <w:highlight w:val="white"/>
        </w:rPr>
        <w:t xml:space="preserve">онтрольных (надзорных) мероприятий допустимо лишь в исключительных случаях при непосредственной угрозе жизни и причинения тяжкого вреда здоровью граждан и такие мероприятия должны быть согласованы с прокуратурой Пензенской области. </w:t>
      </w:r>
      <w:r/>
    </w:p>
    <w:p>
      <w:pPr>
        <w:ind w:firstLine="709"/>
        <w:jc w:val="both"/>
        <w:rPr>
          <w:highlight w:val="white"/>
        </w:rPr>
      </w:pPr>
      <w:r>
        <w:rPr>
          <w:highlight w:val="white"/>
        </w:rPr>
      </w:r>
      <w:r/>
    </w:p>
    <w:p>
      <w:pPr>
        <w:ind w:firstLine="709"/>
        <w:jc w:val="center"/>
        <w:rPr>
          <w:highlight w:val="white"/>
        </w:rPr>
      </w:pPr>
      <w:r>
        <w:rPr>
          <w:b/>
          <w:sz w:val="28"/>
          <w:szCs w:val="28"/>
          <w:highlight w:val="white"/>
          <w:shd w:val="clear" w:color="auto" w:fill="FFFFFF"/>
        </w:rPr>
        <w:t xml:space="preserve">Заключительные положен</w:t>
      </w:r>
      <w:r>
        <w:rPr>
          <w:b/>
          <w:sz w:val="28"/>
          <w:szCs w:val="28"/>
          <w:highlight w:val="white"/>
          <w:shd w:val="clear" w:color="auto" w:fill="FFFFFF"/>
        </w:rPr>
        <w:t xml:space="preserve">ия</w:t>
      </w:r>
      <w:r/>
    </w:p>
    <w:p>
      <w:pPr>
        <w:ind w:firstLine="709"/>
        <w:jc w:val="both"/>
        <w:rPr>
          <w:highlight w:val="white"/>
        </w:rPr>
      </w:pPr>
      <w:r>
        <w:rPr>
          <w:highlight w:val="white"/>
        </w:rPr>
      </w:r>
      <w:r/>
    </w:p>
    <w:p>
      <w:pPr>
        <w:ind w:firstLine="709"/>
        <w:jc w:val="both"/>
      </w:pPr>
      <w:r>
        <w:rPr>
          <w:sz w:val="28"/>
          <w:szCs w:val="28"/>
          <w:highlight w:val="white"/>
        </w:rPr>
        <w:t xml:space="preserve">В 2026 году развитие контрольной (надзорной) работы Управлени</w:t>
      </w:r>
      <w:r>
        <w:rPr>
          <w:sz w:val="28"/>
          <w:szCs w:val="28"/>
          <w:highlight w:val="white"/>
        </w:rPr>
        <w:t xml:space="preserve">ем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будет продолжено. Планируется расширение профилактической деятельности,</w:t>
      </w:r>
      <w:r>
        <w:rPr>
          <w:sz w:val="28"/>
          <w:szCs w:val="28"/>
        </w:rPr>
        <w:t xml:space="preserve"> в части проведения профилактических визитов. В 2026</w:t>
      </w:r>
      <w:r>
        <w:rPr>
          <w:sz w:val="28"/>
          <w:szCs w:val="28"/>
        </w:rPr>
        <w:t xml:space="preserve"> году количество проведенной профилактической работы – ключевой показатель всей надзорной деятельности органов контроля в рейтинге Правительства Российской Федерации. 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По мнению Управления, будущее Надзора состоит в предотвращении случаев нарушения запрето</w:t>
      </w:r>
      <w:r>
        <w:rPr>
          <w:sz w:val="28"/>
          <w:szCs w:val="28"/>
        </w:rPr>
        <w:t xml:space="preserve">в и ограничений, установленных</w:t>
      </w:r>
      <w:r>
        <w:rPr>
          <w:color w:val="000000"/>
          <w:sz w:val="28"/>
          <w:szCs w:val="28"/>
        </w:rPr>
        <w:t xml:space="preserve"> законодательством Российской Федерации</w:t>
      </w:r>
      <w:r>
        <w:rPr>
          <w:sz w:val="28"/>
          <w:szCs w:val="28"/>
        </w:rPr>
        <w:t xml:space="preserve">.</w:t>
      </w:r>
      <w:r/>
    </w:p>
    <w:p>
      <w:pPr>
        <w:ind w:firstLine="708"/>
        <w:jc w:val="both"/>
      </w:pPr>
      <w:r>
        <w:rPr>
          <w:sz w:val="28"/>
          <w:szCs w:val="28"/>
        </w:rPr>
        <w:t xml:space="preserve">В этом смысле профилактика рисков нарушения обязательных требований в отношении юридических лиц и индивидуальных предпринимателей – неоспоримая основа контрольной (надзорной) деятельнос</w:t>
      </w:r>
      <w:r>
        <w:rPr>
          <w:sz w:val="28"/>
          <w:szCs w:val="28"/>
        </w:rPr>
        <w:t xml:space="preserve">ти Управления.</w:t>
      </w:r>
      <w:r/>
    </w:p>
    <w:p>
      <w:pPr>
        <w:jc w:val="both"/>
        <w:tabs>
          <w:tab w:val="left" w:pos="2010" w:leader="none"/>
        </w:tabs>
      </w:pPr>
      <w:r/>
      <w:r/>
    </w:p>
    <w:p>
      <w:pPr>
        <w:rPr>
          <w:color w:val="000000"/>
        </w:rPr>
      </w:pPr>
      <w:r>
        <w:rPr>
          <w:color w:val="000000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p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</w:r>
      <w:r/>
    </w:p>
    <w:sectPr>
      <w:footnotePr/>
      <w:type w:val="nextPage"/>
      <w:pgSz w:w="11907" w:h="16840" w:orient="portrait"/>
      <w:pgMar w:top="1275" w:right="850" w:bottom="1250" w:left="1418" w:header="720" w:footer="720" w:gutter="0"/>
      <w:cols w:num="1" w:sep="0" w:space="708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</w:font>
  <w:font w:name="Symbol">
    <w:panose1 w:val="05050102010706020507"/>
  </w:font>
  <w:font w:name="Wingdings">
    <w:panose1 w:val="05000000000000000000"/>
  </w:font>
  <w:font w:name="Verdana">
    <w:panose1 w:val="020B060403050404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PT Astra Serif">
    <w:panose1 w:val="020A07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90"/>
        <w:tabs>
          <w:tab w:val="num" w:pos="169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5" w:hanging="1215"/>
      </w:pPr>
    </w:lvl>
    <w:lvl w:ilvl="1">
      <w:start w:val="1"/>
      <w:numFmt w:val="decimal"/>
      <w:isLgl w:val="false"/>
      <w:suff w:val="tab"/>
      <w:lvlText w:val="%1.%2."/>
      <w:lvlJc w:val="left"/>
      <w:pPr>
        <w:ind w:left="1755" w:hanging="121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295" w:hanging="121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35" w:hanging="121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75" w:hanging="121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5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7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4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9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6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3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0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11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/>
        <w:sz w:val="20"/>
        <w:szCs w:val="20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/>
        <w:sz w:val="20"/>
        <w:szCs w:val="20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/>
        <w:sz w:val="20"/>
        <w:szCs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2125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845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565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4285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05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725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445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7165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885" w:hanging="360"/>
      </w:pPr>
      <w:rPr>
        <w:rFonts w:ascii="Wingdings" w:hAnsi="Wingdings" w:cs="Wingdings" w:eastAsia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4"/>
  </w:num>
  <w:num w:numId="3">
    <w:abstractNumId w:val="21"/>
  </w:num>
  <w:num w:numId="4">
    <w:abstractNumId w:val="7"/>
  </w:num>
  <w:num w:numId="5">
    <w:abstractNumId w:val="10"/>
  </w:num>
  <w:num w:numId="6">
    <w:abstractNumId w:val="13"/>
  </w:num>
  <w:num w:numId="7">
    <w:abstractNumId w:val="15"/>
  </w:num>
  <w:num w:numId="8">
    <w:abstractNumId w:val="17"/>
  </w:num>
  <w:num w:numId="9">
    <w:abstractNumId w:val="11"/>
  </w:num>
  <w:num w:numId="10">
    <w:abstractNumId w:val="9"/>
  </w:num>
  <w:num w:numId="11">
    <w:abstractNumId w:val="24"/>
  </w:num>
  <w:num w:numId="12">
    <w:abstractNumId w:val="2"/>
  </w:num>
  <w:num w:numId="13">
    <w:abstractNumId w:val="14"/>
  </w:num>
  <w:num w:numId="14">
    <w:abstractNumId w:val="23"/>
  </w:num>
  <w:num w:numId="15">
    <w:abstractNumId w:val="26"/>
  </w:num>
  <w:num w:numId="16">
    <w:abstractNumId w:val="16"/>
  </w:num>
  <w:num w:numId="17">
    <w:abstractNumId w:val="1"/>
  </w:num>
  <w:num w:numId="18">
    <w:abstractNumId w:val="3"/>
  </w:num>
  <w:num w:numId="19">
    <w:abstractNumId w:val="22"/>
  </w:num>
  <w:num w:numId="20">
    <w:abstractNumId w:val="20"/>
  </w:num>
  <w:num w:numId="21">
    <w:abstractNumId w:val="25"/>
  </w:num>
  <w:num w:numId="22">
    <w:abstractNumId w:val="19"/>
  </w:num>
  <w:num w:numId="23">
    <w:abstractNumId w:val="18"/>
  </w:num>
  <w:num w:numId="24">
    <w:abstractNumId w:val="12"/>
  </w:num>
  <w:num w:numId="25">
    <w:abstractNumId w:val="6"/>
  </w:num>
  <w:num w:numId="26">
    <w:abstractNumId w:val="5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4" w:default="1">
    <w:name w:val="Normal"/>
    <w:rPr>
      <w:lang w:bidi="ar-SA" w:eastAsia="ru-RU"/>
    </w:rPr>
  </w:style>
  <w:style w:type="paragraph" w:styleId="445">
    <w:name w:val="Heading 1"/>
    <w:basedOn w:val="444"/>
    <w:next w:val="444"/>
    <w:link w:val="473"/>
    <w:rPr>
      <w:sz w:val="24"/>
    </w:rPr>
    <w:pPr>
      <w:jc w:val="both"/>
      <w:keepNext/>
      <w:outlineLvl w:val="0"/>
    </w:pPr>
  </w:style>
  <w:style w:type="paragraph" w:styleId="446">
    <w:name w:val="Heading 2"/>
    <w:basedOn w:val="444"/>
    <w:next w:val="444"/>
    <w:link w:val="474"/>
    <w:rPr>
      <w:sz w:val="24"/>
    </w:rPr>
    <w:pPr>
      <w:keepNext/>
      <w:outlineLvl w:val="1"/>
    </w:pPr>
  </w:style>
  <w:style w:type="paragraph" w:styleId="447">
    <w:name w:val="Heading 3"/>
    <w:basedOn w:val="444"/>
    <w:next w:val="444"/>
    <w:link w:val="475"/>
    <w:rPr>
      <w:b/>
      <w:sz w:val="40"/>
    </w:rPr>
    <w:pPr>
      <w:jc w:val="center"/>
      <w:keepNext/>
      <w:outlineLvl w:val="2"/>
    </w:pPr>
  </w:style>
  <w:style w:type="paragraph" w:styleId="448">
    <w:name w:val="Heading 4"/>
    <w:basedOn w:val="444"/>
    <w:next w:val="444"/>
    <w:link w:val="476"/>
    <w:rPr>
      <w:sz w:val="28"/>
    </w:rPr>
    <w:pPr>
      <w:jc w:val="center"/>
      <w:keepNext/>
      <w:outlineLvl w:val="3"/>
    </w:pPr>
  </w:style>
  <w:style w:type="paragraph" w:styleId="449">
    <w:name w:val="Heading 5"/>
    <w:link w:val="47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50">
    <w:name w:val="Heading 6"/>
    <w:link w:val="478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51">
    <w:name w:val="Heading 7"/>
    <w:link w:val="479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52">
    <w:name w:val="Heading 8"/>
    <w:link w:val="48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53">
    <w:name w:val="Heading 9"/>
    <w:link w:val="48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54" w:default="1">
    <w:name w:val="Default Paragraph Font"/>
    <w:uiPriority w:val="1"/>
    <w:semiHidden/>
    <w:unhideWhenUsed/>
  </w:style>
  <w:style w:type="table" w:styleId="4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56" w:default="1">
    <w:name w:val="No List"/>
    <w:uiPriority w:val="99"/>
    <w:semiHidden/>
    <w:unhideWhenUsed/>
  </w:style>
  <w:style w:type="character" w:styleId="457" w:customStyle="1">
    <w:name w:val="Heading 1 Char"/>
    <w:basedOn w:val="454"/>
    <w:uiPriority w:val="9"/>
    <w:rPr>
      <w:rFonts w:ascii="Arial" w:hAnsi="Arial" w:cs="Arial" w:eastAsia="Arial"/>
      <w:sz w:val="40"/>
      <w:szCs w:val="40"/>
    </w:rPr>
  </w:style>
  <w:style w:type="character" w:styleId="458" w:customStyle="1">
    <w:name w:val="Heading 2 Char"/>
    <w:basedOn w:val="454"/>
    <w:uiPriority w:val="9"/>
    <w:rPr>
      <w:rFonts w:ascii="Arial" w:hAnsi="Arial" w:cs="Arial" w:eastAsia="Arial"/>
      <w:sz w:val="34"/>
    </w:rPr>
  </w:style>
  <w:style w:type="character" w:styleId="459" w:customStyle="1">
    <w:name w:val="Heading 3 Char"/>
    <w:basedOn w:val="454"/>
    <w:uiPriority w:val="9"/>
    <w:rPr>
      <w:rFonts w:ascii="Arial" w:hAnsi="Arial" w:cs="Arial" w:eastAsia="Arial"/>
      <w:sz w:val="30"/>
      <w:szCs w:val="30"/>
    </w:rPr>
  </w:style>
  <w:style w:type="character" w:styleId="460" w:customStyle="1">
    <w:name w:val="Heading 4 Char"/>
    <w:basedOn w:val="454"/>
    <w:uiPriority w:val="9"/>
    <w:rPr>
      <w:rFonts w:ascii="Arial" w:hAnsi="Arial" w:cs="Arial" w:eastAsia="Arial"/>
      <w:b/>
      <w:bCs/>
      <w:sz w:val="26"/>
      <w:szCs w:val="26"/>
    </w:rPr>
  </w:style>
  <w:style w:type="character" w:styleId="461" w:customStyle="1">
    <w:name w:val="Heading 5 Char"/>
    <w:basedOn w:val="454"/>
    <w:uiPriority w:val="9"/>
    <w:rPr>
      <w:rFonts w:ascii="Arial" w:hAnsi="Arial" w:cs="Arial" w:eastAsia="Arial"/>
      <w:b/>
      <w:bCs/>
      <w:sz w:val="24"/>
      <w:szCs w:val="24"/>
    </w:rPr>
  </w:style>
  <w:style w:type="character" w:styleId="462" w:customStyle="1">
    <w:name w:val="Heading 6 Char"/>
    <w:basedOn w:val="454"/>
    <w:uiPriority w:val="9"/>
    <w:rPr>
      <w:rFonts w:ascii="Arial" w:hAnsi="Arial" w:cs="Arial" w:eastAsia="Arial"/>
      <w:b/>
      <w:bCs/>
      <w:sz w:val="22"/>
      <w:szCs w:val="22"/>
    </w:rPr>
  </w:style>
  <w:style w:type="character" w:styleId="463" w:customStyle="1">
    <w:name w:val="Heading 7 Char"/>
    <w:basedOn w:val="45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64" w:customStyle="1">
    <w:name w:val="Heading 8 Char"/>
    <w:basedOn w:val="454"/>
    <w:uiPriority w:val="9"/>
    <w:rPr>
      <w:rFonts w:ascii="Arial" w:hAnsi="Arial" w:cs="Arial" w:eastAsia="Arial"/>
      <w:i/>
      <w:iCs/>
      <w:sz w:val="22"/>
      <w:szCs w:val="22"/>
    </w:rPr>
  </w:style>
  <w:style w:type="character" w:styleId="465" w:customStyle="1">
    <w:name w:val="Heading 9 Char"/>
    <w:basedOn w:val="454"/>
    <w:uiPriority w:val="9"/>
    <w:rPr>
      <w:rFonts w:ascii="Arial" w:hAnsi="Arial" w:cs="Arial" w:eastAsia="Arial"/>
      <w:i/>
      <w:iCs/>
      <w:sz w:val="21"/>
      <w:szCs w:val="21"/>
    </w:rPr>
  </w:style>
  <w:style w:type="character" w:styleId="466" w:customStyle="1">
    <w:name w:val="Title Char"/>
    <w:basedOn w:val="454"/>
    <w:uiPriority w:val="10"/>
    <w:rPr>
      <w:sz w:val="48"/>
      <w:szCs w:val="48"/>
    </w:rPr>
  </w:style>
  <w:style w:type="character" w:styleId="467" w:customStyle="1">
    <w:name w:val="Subtitle Char"/>
    <w:basedOn w:val="454"/>
    <w:uiPriority w:val="11"/>
    <w:rPr>
      <w:sz w:val="24"/>
      <w:szCs w:val="24"/>
    </w:rPr>
  </w:style>
  <w:style w:type="character" w:styleId="468" w:customStyle="1">
    <w:name w:val="Quote Char"/>
    <w:uiPriority w:val="29"/>
    <w:rPr>
      <w:i/>
    </w:rPr>
  </w:style>
  <w:style w:type="character" w:styleId="469" w:customStyle="1">
    <w:name w:val="Intense Quote Char"/>
    <w:uiPriority w:val="30"/>
    <w:rPr>
      <w:i/>
    </w:rPr>
  </w:style>
  <w:style w:type="character" w:styleId="470" w:customStyle="1">
    <w:name w:val="Header Char"/>
    <w:basedOn w:val="454"/>
    <w:uiPriority w:val="99"/>
  </w:style>
  <w:style w:type="character" w:styleId="471" w:customStyle="1">
    <w:name w:val="Caption Char"/>
    <w:uiPriority w:val="99"/>
  </w:style>
  <w:style w:type="character" w:styleId="472" w:customStyle="1">
    <w:name w:val="Footnote Text Char"/>
    <w:uiPriority w:val="99"/>
    <w:rPr>
      <w:sz w:val="18"/>
    </w:rPr>
  </w:style>
  <w:style w:type="character" w:styleId="473" w:customStyle="1">
    <w:name w:val="Заголовок 1 Знак"/>
    <w:link w:val="445"/>
    <w:uiPriority w:val="9"/>
    <w:rPr>
      <w:rFonts w:ascii="Arial" w:hAnsi="Arial" w:cs="Arial" w:eastAsia="Arial"/>
      <w:sz w:val="40"/>
      <w:szCs w:val="40"/>
    </w:rPr>
  </w:style>
  <w:style w:type="character" w:styleId="474" w:customStyle="1">
    <w:name w:val="Заголовок 2 Знак"/>
    <w:link w:val="446"/>
    <w:uiPriority w:val="9"/>
    <w:rPr>
      <w:rFonts w:ascii="Arial" w:hAnsi="Arial" w:cs="Arial" w:eastAsia="Arial"/>
      <w:sz w:val="34"/>
    </w:rPr>
  </w:style>
  <w:style w:type="character" w:styleId="475" w:customStyle="1">
    <w:name w:val="Заголовок 3 Знак"/>
    <w:link w:val="447"/>
    <w:uiPriority w:val="9"/>
    <w:rPr>
      <w:rFonts w:ascii="Arial" w:hAnsi="Arial" w:cs="Arial" w:eastAsia="Arial"/>
      <w:sz w:val="30"/>
      <w:szCs w:val="30"/>
    </w:rPr>
  </w:style>
  <w:style w:type="character" w:styleId="476" w:customStyle="1">
    <w:name w:val="Заголовок 4 Знак"/>
    <w:link w:val="448"/>
    <w:uiPriority w:val="9"/>
    <w:rPr>
      <w:rFonts w:ascii="Arial" w:hAnsi="Arial" w:cs="Arial" w:eastAsia="Arial"/>
      <w:b/>
      <w:bCs/>
      <w:sz w:val="26"/>
      <w:szCs w:val="26"/>
    </w:rPr>
  </w:style>
  <w:style w:type="character" w:styleId="477" w:customStyle="1">
    <w:name w:val="Заголовок 5 Знак"/>
    <w:link w:val="449"/>
    <w:uiPriority w:val="9"/>
    <w:rPr>
      <w:rFonts w:ascii="Arial" w:hAnsi="Arial" w:cs="Arial" w:eastAsia="Arial"/>
      <w:b/>
      <w:bCs/>
      <w:sz w:val="24"/>
      <w:szCs w:val="24"/>
    </w:rPr>
  </w:style>
  <w:style w:type="character" w:styleId="478" w:customStyle="1">
    <w:name w:val="Заголовок 6 Знак"/>
    <w:link w:val="450"/>
    <w:uiPriority w:val="9"/>
    <w:rPr>
      <w:rFonts w:ascii="Arial" w:hAnsi="Arial" w:cs="Arial" w:eastAsia="Arial"/>
      <w:b/>
      <w:bCs/>
      <w:sz w:val="22"/>
      <w:szCs w:val="22"/>
    </w:rPr>
  </w:style>
  <w:style w:type="character" w:styleId="479" w:customStyle="1">
    <w:name w:val="Заголовок 7 Знак"/>
    <w:link w:val="45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80" w:customStyle="1">
    <w:name w:val="Заголовок 8 Знак"/>
    <w:link w:val="452"/>
    <w:uiPriority w:val="9"/>
    <w:rPr>
      <w:rFonts w:ascii="Arial" w:hAnsi="Arial" w:cs="Arial" w:eastAsia="Arial"/>
      <w:i/>
      <w:iCs/>
      <w:sz w:val="22"/>
      <w:szCs w:val="22"/>
    </w:rPr>
  </w:style>
  <w:style w:type="character" w:styleId="481" w:customStyle="1">
    <w:name w:val="Заголовок 9 Знак"/>
    <w:link w:val="453"/>
    <w:uiPriority w:val="9"/>
    <w:rPr>
      <w:rFonts w:ascii="Arial" w:hAnsi="Arial" w:cs="Arial" w:eastAsia="Arial"/>
      <w:i/>
      <w:iCs/>
      <w:sz w:val="21"/>
      <w:szCs w:val="21"/>
    </w:rPr>
  </w:style>
  <w:style w:type="paragraph" w:styleId="482">
    <w:name w:val="List Paragraph"/>
    <w:qFormat/>
    <w:uiPriority w:val="34"/>
    <w:pPr>
      <w:contextualSpacing w:val="true"/>
      <w:ind w:left="720"/>
    </w:pPr>
  </w:style>
  <w:style w:type="paragraph" w:styleId="483">
    <w:name w:val="No Spacing"/>
    <w:qFormat/>
    <w:uiPriority w:val="1"/>
  </w:style>
  <w:style w:type="paragraph" w:styleId="484">
    <w:name w:val="Title"/>
    <w:basedOn w:val="444"/>
    <w:link w:val="485"/>
    <w:rPr>
      <w:b/>
      <w:sz w:val="26"/>
    </w:rPr>
    <w:pPr>
      <w:jc w:val="center"/>
    </w:pPr>
  </w:style>
  <w:style w:type="character" w:styleId="485" w:customStyle="1">
    <w:name w:val="Название Знак"/>
    <w:link w:val="484"/>
    <w:uiPriority w:val="10"/>
    <w:rPr>
      <w:sz w:val="48"/>
      <w:szCs w:val="48"/>
    </w:rPr>
  </w:style>
  <w:style w:type="paragraph" w:styleId="486">
    <w:name w:val="Subtitle"/>
    <w:link w:val="487"/>
    <w:qFormat/>
    <w:uiPriority w:val="11"/>
    <w:rPr>
      <w:sz w:val="24"/>
      <w:szCs w:val="24"/>
    </w:rPr>
    <w:pPr>
      <w:spacing w:after="200" w:before="200"/>
    </w:pPr>
  </w:style>
  <w:style w:type="character" w:styleId="487" w:customStyle="1">
    <w:name w:val="Подзаголовок Знак"/>
    <w:link w:val="486"/>
    <w:uiPriority w:val="11"/>
    <w:rPr>
      <w:sz w:val="24"/>
      <w:szCs w:val="24"/>
    </w:rPr>
  </w:style>
  <w:style w:type="paragraph" w:styleId="488">
    <w:name w:val="Quote"/>
    <w:link w:val="489"/>
    <w:qFormat/>
    <w:uiPriority w:val="29"/>
    <w:rPr>
      <w:i/>
    </w:rPr>
    <w:pPr>
      <w:ind w:left="720" w:right="720"/>
    </w:pPr>
  </w:style>
  <w:style w:type="character" w:styleId="489" w:customStyle="1">
    <w:name w:val="Цитата 2 Знак"/>
    <w:link w:val="488"/>
    <w:uiPriority w:val="29"/>
    <w:rPr>
      <w:i/>
    </w:rPr>
  </w:style>
  <w:style w:type="paragraph" w:styleId="490">
    <w:name w:val="Intense Quote"/>
    <w:link w:val="49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91" w:customStyle="1">
    <w:name w:val="Выделенная цитата Знак"/>
    <w:link w:val="490"/>
    <w:uiPriority w:val="30"/>
    <w:rPr>
      <w:i/>
    </w:rPr>
  </w:style>
  <w:style w:type="paragraph" w:styleId="492">
    <w:name w:val="Header"/>
    <w:basedOn w:val="444"/>
    <w:link w:val="493"/>
    <w:pPr>
      <w:tabs>
        <w:tab w:val="center" w:pos="4153" w:leader="none"/>
        <w:tab w:val="right" w:pos="8306" w:leader="none"/>
      </w:tabs>
    </w:pPr>
  </w:style>
  <w:style w:type="character" w:styleId="493" w:customStyle="1">
    <w:name w:val="Верхний колонтитул Знак"/>
    <w:link w:val="492"/>
    <w:uiPriority w:val="99"/>
  </w:style>
  <w:style w:type="paragraph" w:styleId="494">
    <w:name w:val="Footer"/>
    <w:basedOn w:val="444"/>
    <w:link w:val="497"/>
    <w:pPr>
      <w:tabs>
        <w:tab w:val="center" w:pos="4153" w:leader="none"/>
        <w:tab w:val="right" w:pos="8306" w:leader="none"/>
      </w:tabs>
    </w:pPr>
  </w:style>
  <w:style w:type="character" w:styleId="495" w:customStyle="1">
    <w:name w:val="Footer Char"/>
    <w:uiPriority w:val="99"/>
  </w:style>
  <w:style w:type="paragraph" w:styleId="496">
    <w:name w:val="Caption"/>
    <w:basedOn w:val="444"/>
    <w:next w:val="444"/>
    <w:rPr>
      <w:b/>
      <w:sz w:val="40"/>
    </w:rPr>
    <w:pPr>
      <w:jc w:val="center"/>
    </w:pPr>
  </w:style>
  <w:style w:type="character" w:styleId="497" w:customStyle="1">
    <w:name w:val="Нижний колонтитул Знак"/>
    <w:link w:val="494"/>
    <w:uiPriority w:val="99"/>
  </w:style>
  <w:style w:type="table" w:styleId="498">
    <w:name w:val="Table Grid"/>
    <w:basedOn w:val="455"/>
    <w:pPr>
      <w:widowControl w:val="off"/>
    </w:p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499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0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1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2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03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05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27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28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29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30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31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32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33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34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35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36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37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38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39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40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41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42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43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44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45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46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47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48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549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50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551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52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553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554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6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6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6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6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6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6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68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9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0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1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2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3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4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5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6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7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8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9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0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1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2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3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4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5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6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7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8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89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9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9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9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9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9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9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96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9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59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9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60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60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60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603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04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05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06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07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08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09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10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11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612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613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614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615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616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617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18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19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20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21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22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23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24">
    <w:name w:val="Hyperlink"/>
    <w:rPr>
      <w:color w:val="0000FF"/>
      <w:u w:val="single"/>
    </w:rPr>
  </w:style>
  <w:style w:type="paragraph" w:styleId="625">
    <w:name w:val="footnote text"/>
    <w:link w:val="626"/>
    <w:uiPriority w:val="99"/>
    <w:semiHidden/>
    <w:unhideWhenUsed/>
    <w:rPr>
      <w:sz w:val="18"/>
    </w:rPr>
    <w:pPr>
      <w:spacing w:after="40"/>
    </w:pPr>
  </w:style>
  <w:style w:type="character" w:styleId="626" w:customStyle="1">
    <w:name w:val="Текст сноски Знак"/>
    <w:link w:val="625"/>
    <w:uiPriority w:val="99"/>
    <w:rPr>
      <w:sz w:val="18"/>
    </w:rPr>
  </w:style>
  <w:style w:type="character" w:styleId="627">
    <w:name w:val="footnote reference"/>
    <w:uiPriority w:val="99"/>
    <w:unhideWhenUsed/>
    <w:rPr>
      <w:vertAlign w:val="superscript"/>
    </w:rPr>
  </w:style>
  <w:style w:type="paragraph" w:styleId="628">
    <w:name w:val="toc 1"/>
    <w:uiPriority w:val="39"/>
    <w:unhideWhenUsed/>
    <w:pPr>
      <w:spacing w:after="57"/>
    </w:pPr>
  </w:style>
  <w:style w:type="paragraph" w:styleId="629">
    <w:name w:val="toc 2"/>
    <w:uiPriority w:val="39"/>
    <w:unhideWhenUsed/>
    <w:pPr>
      <w:ind w:left="283"/>
      <w:spacing w:after="57"/>
    </w:pPr>
  </w:style>
  <w:style w:type="paragraph" w:styleId="630">
    <w:name w:val="toc 3"/>
    <w:uiPriority w:val="39"/>
    <w:unhideWhenUsed/>
    <w:pPr>
      <w:ind w:left="567"/>
      <w:spacing w:after="57"/>
    </w:pPr>
  </w:style>
  <w:style w:type="paragraph" w:styleId="631">
    <w:name w:val="toc 4"/>
    <w:uiPriority w:val="39"/>
    <w:unhideWhenUsed/>
    <w:pPr>
      <w:ind w:left="850"/>
      <w:spacing w:after="57"/>
    </w:pPr>
  </w:style>
  <w:style w:type="paragraph" w:styleId="632">
    <w:name w:val="toc 5"/>
    <w:uiPriority w:val="39"/>
    <w:unhideWhenUsed/>
    <w:pPr>
      <w:ind w:left="1134"/>
      <w:spacing w:after="57"/>
    </w:pPr>
  </w:style>
  <w:style w:type="paragraph" w:styleId="633">
    <w:name w:val="toc 6"/>
    <w:uiPriority w:val="39"/>
    <w:unhideWhenUsed/>
    <w:pPr>
      <w:ind w:left="1417"/>
      <w:spacing w:after="57"/>
    </w:pPr>
  </w:style>
  <w:style w:type="paragraph" w:styleId="634">
    <w:name w:val="toc 7"/>
    <w:uiPriority w:val="39"/>
    <w:unhideWhenUsed/>
    <w:pPr>
      <w:ind w:left="1701"/>
      <w:spacing w:after="57"/>
    </w:pPr>
  </w:style>
  <w:style w:type="paragraph" w:styleId="635">
    <w:name w:val="toc 8"/>
    <w:uiPriority w:val="39"/>
    <w:unhideWhenUsed/>
    <w:pPr>
      <w:ind w:left="1984"/>
      <w:spacing w:after="57"/>
    </w:pPr>
  </w:style>
  <w:style w:type="paragraph" w:styleId="636">
    <w:name w:val="toc 9"/>
    <w:uiPriority w:val="39"/>
    <w:unhideWhenUsed/>
    <w:pPr>
      <w:ind w:left="2268"/>
      <w:spacing w:after="57"/>
    </w:pPr>
  </w:style>
  <w:style w:type="paragraph" w:styleId="637">
    <w:name w:val="TOC Heading"/>
    <w:uiPriority w:val="39"/>
    <w:unhideWhenUsed/>
  </w:style>
  <w:style w:type="character" w:styleId="638" w:customStyle="1">
    <w:name w:val="Основной шрифт абзаца1"/>
    <w:semiHidden/>
    <w:rPr>
      <w:sz w:val="20"/>
    </w:rPr>
  </w:style>
  <w:style w:type="character" w:styleId="639">
    <w:name w:val="page number"/>
    <w:basedOn w:val="454"/>
  </w:style>
  <w:style w:type="paragraph" w:styleId="640" w:customStyle="1">
    <w:name w:val="ConsPlusCell"/>
    <w:rPr>
      <w:rFonts w:ascii="Arial" w:hAnsi="Arial"/>
      <w:lang w:bidi="ar-SA" w:eastAsia="ru-RU"/>
    </w:rPr>
    <w:pPr>
      <w:widowControl w:val="off"/>
    </w:pPr>
  </w:style>
  <w:style w:type="paragraph" w:styleId="641" w:customStyle="1">
    <w:name w:val="ConsPlusNormal"/>
    <w:rPr>
      <w:rFonts w:ascii="Arial" w:hAnsi="Arial"/>
      <w:lang w:bidi="ar-SA" w:eastAsia="ru-RU"/>
    </w:rPr>
    <w:pPr>
      <w:ind w:firstLine="720"/>
    </w:pPr>
  </w:style>
  <w:style w:type="paragraph" w:styleId="642" w:customStyle="1">
    <w:name w:val="ConsPlusNonformat"/>
    <w:rPr>
      <w:rFonts w:ascii="Courier New" w:hAnsi="Courier New"/>
      <w:lang w:bidi="ar-SA" w:eastAsia="ru-RU"/>
    </w:rPr>
  </w:style>
  <w:style w:type="paragraph" w:styleId="643">
    <w:name w:val="Balloon Text"/>
    <w:basedOn w:val="444"/>
    <w:link w:val="644"/>
    <w:rPr>
      <w:rFonts w:ascii="Tahoma" w:hAnsi="Tahoma"/>
      <w:sz w:val="16"/>
      <w:szCs w:val="16"/>
    </w:rPr>
  </w:style>
  <w:style w:type="character" w:styleId="644" w:customStyle="1">
    <w:name w:val="Текст выноски Знак"/>
    <w:link w:val="643"/>
    <w:rPr>
      <w:rFonts w:ascii="Tahoma" w:hAnsi="Tahoma"/>
      <w:sz w:val="16"/>
      <w:szCs w:val="16"/>
    </w:rPr>
  </w:style>
  <w:style w:type="paragraph" w:styleId="645" w:customStyle="1">
    <w:name w:val="Char"/>
    <w:basedOn w:val="444"/>
    <w:rPr>
      <w:rFonts w:ascii="Arial" w:hAnsi="Arial"/>
      <w:lang w:val="fr-FR"/>
    </w:rPr>
    <w:pPr>
      <w:spacing w:lineRule="exact" w:line="240" w:after="160"/>
    </w:pPr>
  </w:style>
  <w:style w:type="table" w:styleId="646" w:customStyle="1">
    <w:name w:val="Сетка таблицы1"/>
    <w:basedOn w:val="455"/>
    <w:next w:val="498"/>
    <w:rPr>
      <w:rFonts w:ascii="Calibri" w:hAnsi="Calibri" w:eastAsia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47" w:customStyle="1">
    <w:name w:val="Сетка таблицы11"/>
    <w:basedOn w:val="455"/>
    <w:rPr>
      <w:rFonts w:ascii="Calibri" w:hAnsi="Calibri"/>
      <w:sz w:val="22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character" w:styleId="648">
    <w:name w:val="annotation reference"/>
    <w:rPr>
      <w:sz w:val="16"/>
      <w:szCs w:val="16"/>
    </w:rPr>
  </w:style>
  <w:style w:type="paragraph" w:styleId="649">
    <w:name w:val="annotation text"/>
    <w:basedOn w:val="444"/>
    <w:link w:val="650"/>
    <w:pPr>
      <w:spacing w:lineRule="auto" w:line="259" w:after="160"/>
    </w:pPr>
  </w:style>
  <w:style w:type="character" w:styleId="650" w:customStyle="1">
    <w:name w:val="Текст примечания Знак"/>
    <w:link w:val="649"/>
    <w:rPr>
      <w:rFonts w:ascii="Calibri" w:hAnsi="Calibri"/>
    </w:rPr>
  </w:style>
  <w:style w:type="paragraph" w:styleId="651" w:customStyle="1">
    <w:name w:val="ConsPlusTitle"/>
    <w:rPr>
      <w:rFonts w:ascii="Arial" w:hAnsi="Arial"/>
      <w:b/>
      <w:bCs/>
      <w:sz w:val="24"/>
      <w:szCs w:val="24"/>
      <w:lang w:bidi="ar-SA" w:eastAsia="ru-RU"/>
    </w:rPr>
    <w:pPr>
      <w:widowControl w:val="off"/>
    </w:pPr>
  </w:style>
  <w:style w:type="character" w:styleId="652">
    <w:name w:val="Emphasis"/>
    <w:rPr>
      <w:i/>
      <w:iCs/>
    </w:rPr>
  </w:style>
  <w:style w:type="paragraph" w:styleId="653">
    <w:name w:val="annotation subject"/>
    <w:basedOn w:val="649"/>
    <w:next w:val="649"/>
    <w:link w:val="654"/>
    <w:rPr>
      <w:b/>
      <w:bCs/>
    </w:rPr>
    <w:pPr>
      <w:spacing w:lineRule="auto" w:line="240" w:after="0"/>
      <w:widowControl w:val="off"/>
    </w:pPr>
  </w:style>
  <w:style w:type="character" w:styleId="654" w:customStyle="1">
    <w:name w:val="Тема примечания Знак"/>
    <w:link w:val="653"/>
    <w:rPr>
      <w:rFonts w:ascii="Calibri" w:hAnsi="Calibri"/>
      <w:b/>
      <w:bCs/>
    </w:rPr>
  </w:style>
  <w:style w:type="paragraph" w:styleId="655" w:customStyle="1">
    <w:name w:val="Знак"/>
    <w:basedOn w:val="444"/>
    <w:rPr>
      <w:rFonts w:ascii="Verdana" w:hAnsi="Verdana"/>
      <w:sz w:val="20"/>
      <w:szCs w:val="20"/>
      <w:lang w:val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56" w:customStyle="1">
    <w:name w:val="Содержимое таблицы"/>
    <w:rPr>
      <w:lang w:bidi="ar-SA" w:eastAsia="ar-SA"/>
    </w:rPr>
    <w:pPr>
      <w:widowControl w:val="off"/>
    </w:pPr>
  </w:style>
  <w:style w:type="paragraph" w:styleId="657" w:customStyle="1">
    <w:name w:val="О*н*в*о* т*к*т"/>
    <w:rPr>
      <w:color w:val="000000"/>
      <w:sz w:val="24"/>
      <w:lang w:val="en-US"/>
    </w:rPr>
    <w:pPr>
      <w:spacing w:after="120"/>
    </w:pPr>
  </w:style>
  <w:style w:type="paragraph" w:styleId="658" w:customStyle="1">
    <w:name w:val="Default"/>
    <w:rPr>
      <w:color w:val="000000"/>
      <w:sz w:val="24"/>
      <w:szCs w:val="24"/>
      <w:lang w:bidi="ar-SA" w:eastAsia="ru-RU"/>
    </w:rPr>
  </w:style>
  <w:style w:type="paragraph" w:styleId="659">
    <w:name w:val="Normal (Web)"/>
    <w:uiPriority w:val="99"/>
    <w:semiHidden/>
    <w:unhideWhenUsed/>
    <w:rPr>
      <w:sz w:val="24"/>
      <w:szCs w:val="24"/>
      <w:lang w:bidi="ar-SA" w:eastAsia="ru-RU"/>
    </w:rPr>
    <w:pPr>
      <w:spacing w:after="100" w:afterAutospacing="1" w:before="100" w:before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8</cp:revision>
  <dcterms:created xsi:type="dcterms:W3CDTF">2026-03-17T10:27:00Z</dcterms:created>
  <dcterms:modified xsi:type="dcterms:W3CDTF">2026-03-20T08:11:40Z</dcterms:modified>
</cp:coreProperties>
</file>