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425" w:firstLine="709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ind w:left="425" w:firstLine="709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>
        <w:trPr>
          <w:jc w:val="center"/>
        </w:trPr>
        <w:tc>
          <w:tcPr>
            <w:tcW w:w="9639" w:type="dxa"/>
            <w:textDirection w:val="lrTb"/>
            <w:noWrap w:val="false"/>
          </w:tcPr>
          <w:p>
            <w:pPr>
              <w:jc w:val="center"/>
              <w:widowControl/>
              <w:rPr>
                <w:b/>
                <w:sz w:val="28"/>
                <w:szCs w:val="20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mc:AlternateContent>
                <mc:Choice Requires="wpg">
                  <w:drawing>
                    <wp:anchor xmlns:wp="http://schemas.openxmlformats.org/drawingml/2006/wordprocessingDrawing" distT="0" distB="0" distL="114300" distR="114300" simplePos="0" relativeHeight="251660289" behindDoc="0" locked="0" layoutInCell="1" allowOverlap="1">
                      <wp:simplePos x="0" y="0"/>
                      <wp:positionH relativeFrom="column">
                        <wp:posOffset>2735580</wp:posOffset>
                      </wp:positionH>
                      <wp:positionV relativeFrom="paragraph">
                        <wp:posOffset>-333374</wp:posOffset>
                      </wp:positionV>
                      <wp:extent cx="726440" cy="959485"/>
                      <wp:effectExtent l="0" t="0" r="0" b="0"/>
                      <wp:wrapNone/>
                      <wp:docPr id="1" name="Рисунок 1" hidden="false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" hidden="0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26440" cy="9594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mso-wrap-distance-left:9.0pt;mso-wrap-distance-top:0.0pt;mso-wrap-distance-right:9.0pt;mso-wrap-distance-bottom:0.0pt;z-index:251660289;o:allowoverlap:true;o:allowincell:true;mso-position-horizontal-relative:text;margin-left:215.4pt;mso-position-horizontal:absolute;mso-position-vertical-relative:text;margin-top:-26.2pt;mso-position-vertical:absolute;width:57.2pt;height:75.5pt;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</w:tr>
      <w:tr>
        <w:trPr>
          <w:jc w:val="center"/>
        </w:trPr>
        <w:tc>
          <w:tcPr>
            <w:tcW w:w="9639" w:type="dxa"/>
            <w:textDirection w:val="lrTb"/>
            <w:noWrap w:val="false"/>
          </w:tcPr>
          <w:p>
            <w:pPr>
              <w:jc w:val="center"/>
              <w:widowControl/>
              <w:rPr>
                <w:sz w:val="30"/>
                <w:szCs w:val="20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30"/>
                <w:szCs w:val="20"/>
              </w:rPr>
            </w:r>
            <w:r/>
          </w:p>
        </w:tc>
      </w:tr>
      <w:tr>
        <w:trPr>
          <w:jc w:val="center"/>
        </w:trPr>
        <w:tc>
          <w:tcPr>
            <w:tcW w:w="9639" w:type="dxa"/>
            <w:textDirection w:val="lrTb"/>
            <w:noWrap w:val="false"/>
          </w:tcPr>
          <w:p>
            <w:pPr>
              <w:jc w:val="center"/>
              <w:widowControl/>
              <w:rPr>
                <w:sz w:val="30"/>
                <w:szCs w:val="20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30"/>
                <w:szCs w:val="20"/>
              </w:rPr>
            </w:r>
            <w:r/>
          </w:p>
        </w:tc>
      </w:tr>
      <w:tr>
        <w:trPr>
          <w:jc w:val="center"/>
        </w:trPr>
        <w:tc>
          <w:tcPr>
            <w:tcW w:w="9639" w:type="dxa"/>
            <w:textDirection w:val="lrTb"/>
            <w:noWrap w:val="false"/>
          </w:tcPr>
          <w:p>
            <w:pPr>
              <w:jc w:val="center"/>
              <w:widowControl/>
              <w:rPr>
                <w:sz w:val="30"/>
                <w:szCs w:val="20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30"/>
                <w:szCs w:val="20"/>
              </w:rPr>
            </w:r>
            <w:r/>
          </w:p>
        </w:tc>
      </w:tr>
      <w:tr>
        <w:trPr>
          <w:jc w:val="center"/>
        </w:trPr>
        <w:tc>
          <w:tcPr>
            <w:tcW w:w="9639" w:type="dxa"/>
            <w:textDirection w:val="lrTb"/>
            <w:noWrap w:val="false"/>
          </w:tcPr>
          <w:p>
            <w:pPr>
              <w:jc w:val="center"/>
              <w:widowControl/>
              <w:rPr>
                <w:b/>
                <w:sz w:val="36"/>
                <w:szCs w:val="20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b/>
                <w:sz w:val="36"/>
                <w:szCs w:val="20"/>
              </w:rPr>
              <w:t xml:space="preserve">ПРАВИТЕЛЬСТВО ПЕНЗЕНСКОЙ ОБЛАСТИ</w:t>
            </w:r>
            <w:r/>
          </w:p>
        </w:tc>
      </w:tr>
      <w:tr>
        <w:trPr>
          <w:jc w:val="center"/>
        </w:trPr>
        <w:tc>
          <w:tcPr>
            <w:tcW w:w="9639" w:type="dxa"/>
            <w:textDirection w:val="lrTb"/>
            <w:noWrap w:val="false"/>
          </w:tcPr>
          <w:p>
            <w:pPr>
              <w:jc w:val="center"/>
              <w:widowControl/>
              <w:rPr>
                <w:sz w:val="36"/>
                <w:szCs w:val="20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36"/>
                <w:szCs w:val="20"/>
              </w:rPr>
            </w:r>
            <w:r/>
          </w:p>
        </w:tc>
      </w:tr>
      <w:tr>
        <w:trPr>
          <w:jc w:val="center"/>
          <w:trHeight w:val="431"/>
        </w:trPr>
        <w:tc>
          <w:tcPr>
            <w:tcW w:w="9639" w:type="dxa"/>
            <w:textDirection w:val="lrTb"/>
            <w:noWrap w:val="false"/>
          </w:tcPr>
          <w:p>
            <w:pPr>
              <w:jc w:val="center"/>
              <w:keepNext/>
              <w:widowControl/>
              <w:rPr>
                <w:b/>
                <w:sz w:val="40"/>
                <w:szCs w:val="20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  <w:outlineLvl w:val="2"/>
            </w:pPr>
            <w:r>
              <w:rPr>
                <w:b/>
                <w:sz w:val="28"/>
                <w:szCs w:val="20"/>
              </w:rPr>
              <w:t xml:space="preserve">П</w:t>
            </w:r>
            <w:r>
              <w:rPr>
                <w:b/>
                <w:sz w:val="28"/>
                <w:szCs w:val="20"/>
              </w:rPr>
              <w:t xml:space="preserve"> О С Т А Н О В Л Е Н И Е</w:t>
            </w:r>
            <w:r/>
          </w:p>
        </w:tc>
      </w:tr>
    </w:tbl>
    <w:p>
      <w:pPr>
        <w:rPr>
          <w:sz w:val="4"/>
          <w:szCs w:val="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sz w:val="4"/>
          <w:szCs w:val="4"/>
        </w:rPr>
      </w:r>
      <w:r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>
        <w:trPr>
          <w:jc w:val="center"/>
        </w:trPr>
        <w:tc>
          <w:tcPr>
            <w:tcW w:w="284" w:type="dxa"/>
            <w:vAlign w:val="bottom"/>
            <w:textDirection w:val="lrTb"/>
            <w:noWrap w:val="false"/>
          </w:tcPr>
          <w:p>
            <w:pPr>
              <w:widowControl/>
              <w:rPr>
                <w:sz w:val="24"/>
                <w:szCs w:val="20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4"/>
                <w:szCs w:val="20"/>
              </w:rPr>
            </w:r>
            <w:r/>
          </w:p>
        </w:tc>
        <w:tc>
          <w:tcPr>
            <w:tcBorders>
              <w:bottom w:val="single" w:sz="6" w:space="0" w:color="auto"/>
            </w:tcBorders>
            <w:tcW w:w="2835" w:type="dxa"/>
            <w:textDirection w:val="lrTb"/>
            <w:noWrap w:val="false"/>
          </w:tcPr>
          <w:p>
            <w:pPr>
              <w:jc w:val="center"/>
              <w:widowControl/>
              <w:rPr>
                <w:sz w:val="24"/>
                <w:szCs w:val="20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4"/>
                <w:szCs w:val="20"/>
              </w:rPr>
            </w:r>
            <w:r/>
          </w:p>
        </w:tc>
        <w:tc>
          <w:tcPr>
            <w:tcW w:w="397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sz w:val="24"/>
                <w:szCs w:val="20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4"/>
                <w:szCs w:val="20"/>
              </w:rPr>
              <w:t xml:space="preserve">№ </w:t>
            </w:r>
            <w:r/>
          </w:p>
        </w:tc>
        <w:tc>
          <w:tcPr>
            <w:tcBorders>
              <w:bottom w:val="single" w:sz="6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/>
              <w:rPr>
                <w:sz w:val="24"/>
                <w:szCs w:val="20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4"/>
                <w:szCs w:val="20"/>
              </w:rPr>
            </w:r>
            <w:r/>
          </w:p>
        </w:tc>
      </w:tr>
      <w:tr>
        <w:trPr>
          <w:jc w:val="center"/>
        </w:trPr>
        <w:tc>
          <w:tcPr>
            <w:gridSpan w:val="4"/>
            <w:tcW w:w="4650" w:type="dxa"/>
            <w:textDirection w:val="lrTb"/>
            <w:noWrap w:val="false"/>
          </w:tcPr>
          <w:p>
            <w:pPr>
              <w:jc w:val="center"/>
              <w:widowControl/>
              <w:rPr>
                <w:sz w:val="10"/>
                <w:szCs w:val="20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10"/>
                <w:szCs w:val="20"/>
              </w:rPr>
            </w:r>
            <w:r/>
          </w:p>
          <w:p>
            <w:pPr>
              <w:jc w:val="center"/>
              <w:widowControl/>
              <w:rPr>
                <w:sz w:val="24"/>
                <w:szCs w:val="20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4"/>
                <w:szCs w:val="20"/>
              </w:rPr>
              <w:t xml:space="preserve">г. Пенза</w:t>
            </w:r>
            <w:r/>
          </w:p>
        </w:tc>
      </w:tr>
    </w:tbl>
    <w:p>
      <w:pPr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widowControl/>
      </w:pPr>
      <w:r>
        <w:rPr>
          <w:b/>
          <w:sz w:val="28"/>
          <w:szCs w:val="28"/>
        </w:rPr>
        <w:t xml:space="preserve">О внесении изменений в Положение о реги</w:t>
      </w:r>
      <w:r>
        <w:rPr>
          <w:b/>
          <w:sz w:val="28"/>
          <w:szCs w:val="28"/>
        </w:rPr>
        <w:t xml:space="preserve">ональном государственном контроле (надзоре) в области розничной продажи алкогольной и спиртосодержащей продукции на территории Пензенской области, утвержденное постановлением Правительства Пензенской области от </w:t>
      </w:r>
      <w:r>
        <w:rPr>
          <w:b/>
          <w:sz w:val="28"/>
          <w:szCs w:val="28"/>
        </w:rPr>
        <w:t xml:space="preserve">30.12.2021 № 942-пП (с последующими изменениями)</w:t>
      </w:r>
      <w:r/>
    </w:p>
    <w:p>
      <w:pPr>
        <w:ind w:left="426"/>
        <w:jc w:val="center"/>
        <w:widowControl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ind w:firstLine="708"/>
        <w:jc w:val="both"/>
        <w:rPr>
          <w:sz w:val="28"/>
        </w:rPr>
      </w:pPr>
      <w:r>
        <w:rPr>
          <w:sz w:val="28"/>
        </w:rPr>
        <w:t xml:space="preserve">Руководствуясь </w:t>
      </w:r>
      <w:hyperlink r:id="rId9" w:tooltip="https://login.consultant.ru/link/?req=doc&amp;base=RLAW021&amp;n=182932" w:history="1">
        <w:r>
          <w:rPr>
            <w:sz w:val="28"/>
          </w:rPr>
          <w:t xml:space="preserve">Законом</w:t>
        </w:r>
      </w:hyperlink>
      <w:r>
        <w:rPr>
          <w:sz w:val="28"/>
        </w:rPr>
        <w:t xml:space="preserve"> Пензенской области от 21.04.2023 № 4006-ЗПО «О Правительстве Пензенской области» (</w:t>
      </w:r>
      <w:r>
        <w:rPr>
          <w:sz w:val="28"/>
        </w:rPr>
        <w:t xml:space="preserve">с последующими изменениями), Правительство Пензенской области </w:t>
      </w:r>
      <w:r>
        <w:rPr>
          <w:b/>
          <w:sz w:val="28"/>
        </w:rPr>
        <w:t xml:space="preserve">п</w:t>
      </w:r>
      <w:r>
        <w:rPr>
          <w:b/>
          <w:sz w:val="28"/>
        </w:rPr>
        <w:t xml:space="preserve"> о с т а н о в л я е т</w:t>
      </w:r>
      <w:r>
        <w:rPr>
          <w:sz w:val="28"/>
        </w:rPr>
        <w:t xml:space="preserve">:</w:t>
      </w:r>
      <w:r/>
    </w:p>
    <w:p>
      <w:pPr>
        <w:ind w:firstLine="567"/>
        <w:jc w:val="both"/>
        <w:widowControl/>
        <w:rPr>
          <w:sz w:val="28"/>
          <w:highlight w:val="white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Положение о региональном государственном контроле (надзоре) в области розничной продажи алкогольной и спиртосодержащей продукции на территории Пензенской обл</w:t>
      </w:r>
      <w:r>
        <w:rPr>
          <w:sz w:val="28"/>
          <w:szCs w:val="28"/>
        </w:rPr>
        <w:t xml:space="preserve">асти (далее – Положение), утвержденное постановлением Правительства Пензенской области от </w:t>
      </w:r>
      <w:r>
        <w:rPr>
          <w:sz w:val="28"/>
          <w:szCs w:val="28"/>
        </w:rPr>
        <w:t xml:space="preserve">30.12.2021 № 942-пП «Об утверждении Положения о региональном государственном контроле (надзоре) в области розничной продажи алкогольной и спиртосодержащей продукции на т</w:t>
      </w:r>
      <w:r>
        <w:rPr>
          <w:sz w:val="28"/>
          <w:szCs w:val="28"/>
        </w:rPr>
        <w:t xml:space="preserve">ерритории Пензенской области» (с по</w:t>
      </w:r>
      <w:r>
        <w:rPr>
          <w:sz w:val="28"/>
          <w:szCs w:val="28"/>
          <w:highlight w:val="white"/>
        </w:rPr>
        <w:t xml:space="preserve">следующими изменениями), следующие изменения:</w:t>
      </w:r>
      <w:r/>
    </w:p>
    <w:p>
      <w:pPr>
        <w:ind w:firstLine="567"/>
        <w:jc w:val="both"/>
        <w:widowControl/>
        <w:rPr>
          <w:sz w:val="28"/>
          <w:highlight w:val="white"/>
        </w:rPr>
      </w:pPr>
      <w:r>
        <w:rPr>
          <w:sz w:val="28"/>
          <w:szCs w:val="28"/>
          <w:highlight w:val="white"/>
        </w:rPr>
        <w:t xml:space="preserve">1.1. в разделе V «Профилактические мероприятия в рамках осуществления регионального государственного контроля (надзора)» Положения</w:t>
      </w:r>
      <w:r>
        <w:rPr>
          <w:sz w:val="28"/>
          <w:highlight w:val="white"/>
        </w:rPr>
        <w:t xml:space="preserve">:</w:t>
      </w:r>
      <w:r/>
    </w:p>
    <w:p>
      <w:pPr>
        <w:ind w:firstLine="567"/>
        <w:jc w:val="both"/>
        <w:shd w:val="clear" w:color="auto" w:fill="FFFFFF" w:themeFill="background1"/>
        <w:widowControl/>
        <w:rPr>
          <w:sz w:val="28"/>
        </w:rPr>
      </w:pPr>
      <w:r>
        <w:rPr>
          <w:sz w:val="28"/>
          <w:highlight w:val="white"/>
        </w:rPr>
        <w:t xml:space="preserve">1.1.1. в подпункте 7.3 пункта 7 слова «</w:t>
      </w:r>
      <w:r>
        <w:rPr>
          <w:sz w:val="28"/>
          <w:highlight w:val="white"/>
        </w:rPr>
        <w:t xml:space="preserve">в отношении предостережения» дополнить словами «, в том числе посредством</w:t>
      </w:r>
      <w:r>
        <w:rPr>
          <w:sz w:val="28"/>
        </w:rPr>
        <w:t xml:space="preserve"> </w:t>
      </w:r>
      <w:r>
        <w:rPr>
          <w:sz w:val="28"/>
          <w:szCs w:val="27"/>
        </w:rPr>
        <w:t xml:space="preserve">федеральной государственной информационной системы «Единый портал государственных и муниципальных услуг (функций)» </w:t>
      </w:r>
      <w:r>
        <w:rPr>
          <w:sz w:val="28"/>
          <w:szCs w:val="27"/>
        </w:rPr>
        <w:t xml:space="preserve">или</w:t>
      </w:r>
      <w:r>
        <w:rPr>
          <w:sz w:val="28"/>
          <w:szCs w:val="27"/>
        </w:rPr>
        <w:t xml:space="preserve"> регионального портала государственных и муниципальных услуг</w:t>
      </w:r>
      <w:r>
        <w:rPr>
          <w:sz w:val="28"/>
        </w:rPr>
        <w:t xml:space="preserve">»;</w:t>
      </w:r>
      <w:r/>
    </w:p>
    <w:p>
      <w:pPr>
        <w:ind w:firstLine="567"/>
        <w:jc w:val="both"/>
        <w:shd w:val="clear" w:color="auto" w:fill="FFFFFF" w:themeFill="background1"/>
        <w:widowControl/>
        <w:rPr>
          <w:sz w:val="28"/>
          <w:highlight w:val="white"/>
        </w:rPr>
      </w:pPr>
      <w:r>
        <w:rPr>
          <w:sz w:val="28"/>
          <w:highlight w:val="white"/>
        </w:rPr>
        <w:t xml:space="preserve">1.1.2. в пункте 8:</w:t>
      </w:r>
      <w:r/>
    </w:p>
    <w:p>
      <w:pPr>
        <w:ind w:firstLine="567"/>
        <w:jc w:val="both"/>
        <w:shd w:val="clear" w:color="auto" w:fill="FFFFFF" w:themeFill="background1"/>
        <w:widowControl/>
        <w:rPr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sz w:val="28"/>
          <w:szCs w:val="28"/>
          <w:highlight w:val="white"/>
        </w:rPr>
        <w:t xml:space="preserve">1.1.2.1. в подпункте 8.1 слова «и их предст</w:t>
      </w:r>
      <w:r>
        <w:rPr>
          <w:sz w:val="28"/>
          <w:szCs w:val="28"/>
          <w:highlight w:val="white"/>
        </w:rPr>
        <w:t xml:space="preserve">авителей» дополнить словами   «, </w:t>
      </w:r>
      <w:r>
        <w:rPr>
          <w:sz w:val="28"/>
          <w:szCs w:val="28"/>
          <w:highlight w:val="white"/>
        </w:rPr>
        <w:t xml:space="preserve">направленных</w:t>
      </w:r>
      <w:r>
        <w:rPr>
          <w:sz w:val="28"/>
          <w:szCs w:val="28"/>
          <w:highlight w:val="white"/>
        </w:rPr>
        <w:t xml:space="preserve"> в том числе посредством </w:t>
      </w:r>
      <w:r>
        <w:rPr>
          <w:sz w:val="28"/>
          <w:szCs w:val="27"/>
        </w:rPr>
        <w:t xml:space="preserve">федеральной государственной информационной системы «Единый портал государственных и муниципальных услуг (функций)» </w:t>
      </w:r>
      <w:r>
        <w:rPr>
          <w:sz w:val="28"/>
          <w:szCs w:val="27"/>
        </w:rPr>
        <w:t xml:space="preserve">или</w:t>
      </w:r>
      <w:r>
        <w:rPr>
          <w:sz w:val="28"/>
          <w:szCs w:val="27"/>
        </w:rPr>
        <w:t xml:space="preserve"> регионального портала государственных и муниципальных услуг</w:t>
      </w:r>
      <w:r>
        <w:rPr>
          <w:sz w:val="28"/>
          <w:szCs w:val="28"/>
        </w:rPr>
        <w:t xml:space="preserve">,»;</w:t>
      </w:r>
      <w:r/>
    </w:p>
    <w:p>
      <w:pPr>
        <w:ind w:firstLine="567"/>
        <w:jc w:val="both"/>
        <w:widowControl/>
        <w:rPr>
          <w:sz w:val="28"/>
        </w:rPr>
      </w:pPr>
      <w:r>
        <w:rPr>
          <w:sz w:val="28"/>
        </w:rPr>
        <w:t xml:space="preserve">1.1.2.2. подпункт 8.3 изложить в следующей редакции:</w:t>
      </w:r>
      <w:r/>
    </w:p>
    <w:p>
      <w:pPr>
        <w:ind w:firstLine="567"/>
        <w:jc w:val="both"/>
        <w:widowControl/>
        <w:rPr>
          <w:sz w:val="28"/>
          <w:szCs w:val="28"/>
        </w:rPr>
      </w:pPr>
      <w:r>
        <w:rPr>
          <w:sz w:val="28"/>
        </w:rPr>
        <w:t xml:space="preserve">«8.3. Консул</w:t>
      </w:r>
      <w:r>
        <w:rPr>
          <w:sz w:val="28"/>
        </w:rPr>
        <w:t xml:space="preserve">ьтирование может осуществляться должностным лицом контрольного (надзорного) органа по телефону, посредством видео-конференц-</w:t>
      </w:r>
      <w:r>
        <w:rPr>
          <w:sz w:val="28"/>
        </w:rPr>
        <w:t xml:space="preserve">связи, использования мобильного приложения «Инспектор»</w:t>
      </w:r>
      <w:r>
        <w:rPr>
          <w:sz w:val="28"/>
        </w:rPr>
        <w:t xml:space="preserve">, на личном приеме либо в ходе проведения профилактического мероприятия, контр</w:t>
      </w:r>
      <w:r>
        <w:rPr>
          <w:sz w:val="28"/>
        </w:rPr>
        <w:t xml:space="preserve">ольного (надзорного) мероприятия</w:t>
      </w:r>
      <w:r>
        <w:rPr>
          <w:sz w:val="28"/>
        </w:rPr>
        <w:t xml:space="preserve">.»;</w:t>
      </w:r>
      <w:r/>
    </w:p>
    <w:p>
      <w:pPr>
        <w:ind w:firstLine="708"/>
        <w:jc w:val="both"/>
        <w:rPr>
          <w:sz w:val="28"/>
        </w:rPr>
      </w:pPr>
      <w:r>
        <w:rPr>
          <w:sz w:val="28"/>
        </w:rPr>
        <w:t xml:space="preserve">1.2. раздел VI «Проведение плановых и внеплановых контрольных (надзорных) мероприятий» Положения изложить в следующей редакции: </w:t>
      </w:r>
      <w:r/>
    </w:p>
    <w:p>
      <w:pPr>
        <w:ind w:firstLine="708"/>
        <w:jc w:val="center"/>
        <w:shd w:val="clear" w:color="auto" w:fill="FFFFFF" w:themeFill="background1"/>
        <w:rPr>
          <w:sz w:val="28"/>
          <w:highlight w:val="white"/>
        </w:rPr>
      </w:pPr>
      <w:r>
        <w:rPr>
          <w:sz w:val="28"/>
          <w:highlight w:val="white"/>
        </w:rPr>
        <w:t xml:space="preserve">«VI «Проведение контрольных (надзорных) мероприятий</w:t>
      </w:r>
      <w:r/>
    </w:p>
    <w:p>
      <w:pPr>
        <w:ind w:firstLine="708"/>
        <w:jc w:val="both"/>
      </w:pPr>
      <w:r>
        <w:rPr>
          <w:sz w:val="28"/>
        </w:rPr>
        <w:t xml:space="preserve">1. В соответствии с пунктом 5 статьи 23.1 Федерального закона о государственном регулировании алкогольной продукции, при осуществлении регионального государственного контроля (надзора) в области розничной продажи алкогольной и спиртосодержащей продукции пл</w:t>
      </w:r>
      <w:r>
        <w:rPr>
          <w:sz w:val="28"/>
        </w:rPr>
        <w:t xml:space="preserve">ановые контрольные (надзорные) мероприятия не проводятся.</w:t>
      </w:r>
      <w:r/>
    </w:p>
    <w:p>
      <w:pPr>
        <w:ind w:firstLine="708"/>
        <w:jc w:val="both"/>
      </w:pPr>
      <w:r>
        <w:rPr>
          <w:sz w:val="28"/>
        </w:rPr>
        <w:t xml:space="preserve">2. Внеплановые контрольные (надзорные) мероприятия проводятся в соответствии с положениями статьи 66 Закона о контроле и по основаниям, предусмотренным пунктами 3, 4 части 1 статьи 57 Закона о контр</w:t>
      </w:r>
      <w:r>
        <w:rPr>
          <w:sz w:val="28"/>
        </w:rPr>
        <w:t xml:space="preserve">оле.</w:t>
      </w:r>
      <w:r/>
    </w:p>
    <w:p>
      <w:pPr>
        <w:ind w:firstLine="708"/>
        <w:jc w:val="both"/>
      </w:pPr>
      <w:r>
        <w:rPr>
          <w:sz w:val="28"/>
        </w:rPr>
        <w:t xml:space="preserve">3. Для фиксации доказательств нарушений обязательных требований инспекторами могут быть использованы любые имеющиеся в распоряжении технические средства фотосъемки, аудио- и видеозаписи.</w:t>
      </w:r>
      <w:r/>
    </w:p>
    <w:p>
      <w:pPr>
        <w:ind w:firstLine="708"/>
        <w:jc w:val="both"/>
      </w:pPr>
      <w:r>
        <w:rPr>
          <w:sz w:val="28"/>
        </w:rPr>
        <w:t xml:space="preserve">Информация о проведении фотосъемки, аудио- и видеозаписи и испол</w:t>
      </w:r>
      <w:r>
        <w:rPr>
          <w:sz w:val="28"/>
        </w:rPr>
        <w:t xml:space="preserve">ьзованных для этих целей технических средствах отражается в акте контрольного (надзорного) мероприятия.</w:t>
      </w:r>
      <w:r/>
    </w:p>
    <w:p>
      <w:pPr>
        <w:ind w:firstLine="708"/>
        <w:jc w:val="both"/>
      </w:pPr>
      <w:r>
        <w:rPr>
          <w:sz w:val="28"/>
        </w:rPr>
        <w:t xml:space="preserve">Фиксация нарушений обязательных требований при помощи фотосъемки проводится не менее чем 2 снимками каждого из выявленных нарушений обязательных требова</w:t>
      </w:r>
      <w:r>
        <w:rPr>
          <w:sz w:val="28"/>
        </w:rPr>
        <w:t xml:space="preserve">ний. При осуществлен</w:t>
      </w:r>
      <w:r>
        <w:rPr>
          <w:sz w:val="28"/>
        </w:rPr>
        <w:t xml:space="preserve">ии ау</w:t>
      </w:r>
      <w:r>
        <w:rPr>
          <w:sz w:val="28"/>
        </w:rPr>
        <w:t xml:space="preserve">дио- и видеозаписи в начале и конце записи инспектором делается уведомление о дате, месте, времени начала и окончания осуществления записи.</w:t>
      </w:r>
      <w:r/>
    </w:p>
    <w:p>
      <w:pPr>
        <w:ind w:firstLine="708"/>
        <w:jc w:val="both"/>
      </w:pPr>
      <w:r>
        <w:rPr>
          <w:sz w:val="28"/>
        </w:rPr>
        <w:t xml:space="preserve">Фотографии, аудио- и видеозаписи, используемые для фиксации доказательств, должны позволять</w:t>
      </w:r>
      <w:r>
        <w:rPr>
          <w:sz w:val="28"/>
        </w:rPr>
        <w:t xml:space="preserve"> однозначно идентифицировать объект фиксации, отражающий нарушение обязательных требований. Фотографии, аудио- и видеозаписи, используемые для доказательств нарушений обязательных требований, прикладываются к акту контрольного (надзорного) мероприятия.</w:t>
      </w:r>
      <w:r/>
    </w:p>
    <w:p>
      <w:pPr>
        <w:ind w:firstLine="708"/>
        <w:jc w:val="both"/>
      </w:pPr>
      <w:r>
        <w:rPr>
          <w:sz w:val="28"/>
        </w:rPr>
        <w:t xml:space="preserve">Реш</w:t>
      </w:r>
      <w:r>
        <w:rPr>
          <w:sz w:val="28"/>
        </w:rPr>
        <w:t xml:space="preserve">ение о необходимости использования фотосъемки, аудио- и видеозаписи, иных способах фиксации доказательств нарушений обязательных требований при осуществлении контрольных (надзорных) мероприятий принимается инспектором, осуществляющим государственный контро</w:t>
      </w:r>
      <w:r>
        <w:rPr>
          <w:sz w:val="28"/>
        </w:rPr>
        <w:t xml:space="preserve">ль, самостоятельно.</w:t>
      </w:r>
      <w:r/>
    </w:p>
    <w:p>
      <w:pPr>
        <w:ind w:firstLine="708"/>
        <w:jc w:val="both"/>
      </w:pPr>
      <w:r>
        <w:rPr>
          <w:sz w:val="28"/>
        </w:rPr>
        <w:t xml:space="preserve">В обязательном порядке фот</w:t>
      </w:r>
      <w:r>
        <w:rPr>
          <w:sz w:val="28"/>
        </w:rPr>
        <w:t xml:space="preserve">о-</w:t>
      </w:r>
      <w:r>
        <w:rPr>
          <w:sz w:val="28"/>
        </w:rPr>
        <w:t xml:space="preserve"> и </w:t>
      </w:r>
      <w:r>
        <w:rPr>
          <w:sz w:val="28"/>
        </w:rPr>
        <w:t xml:space="preserve">видеофиксация</w:t>
      </w:r>
      <w:r>
        <w:rPr>
          <w:sz w:val="28"/>
        </w:rPr>
        <w:t xml:space="preserve"> доказательств нарушений обязательных требований осуществляется в следующих случаях:</w:t>
      </w:r>
      <w:r/>
    </w:p>
    <w:p>
      <w:pPr>
        <w:ind w:firstLine="708"/>
        <w:jc w:val="both"/>
      </w:pPr>
      <w:r>
        <w:rPr>
          <w:sz w:val="28"/>
        </w:rPr>
        <w:t xml:space="preserve">при проведении осмотра и (или) досмотра в ходе выездной проверки в отсутствие контролируемого лица;</w:t>
      </w:r>
      <w:r/>
    </w:p>
    <w:p>
      <w:pPr>
        <w:ind w:firstLine="708"/>
        <w:jc w:val="both"/>
      </w:pPr>
      <w:r>
        <w:rPr>
          <w:sz w:val="28"/>
        </w:rPr>
        <w:t xml:space="preserve">при про</w:t>
      </w:r>
      <w:r>
        <w:rPr>
          <w:sz w:val="28"/>
        </w:rPr>
        <w:t xml:space="preserve">ведении выездной проверки, в ходе которой осуществлялись препятствия в ее проведении и совершении контрольных (надзорных) действий.</w:t>
      </w:r>
      <w:r/>
    </w:p>
    <w:p>
      <w:pPr>
        <w:ind w:firstLine="708"/>
        <w:jc w:val="both"/>
        <w:rPr>
          <w:sz w:val="28"/>
          <w:highlight w:val="white"/>
        </w:rPr>
      </w:pPr>
      <w:r>
        <w:rPr>
          <w:sz w:val="28"/>
        </w:rPr>
        <w:t xml:space="preserve">4. М</w:t>
      </w:r>
      <w:r>
        <w:rPr>
          <w:sz w:val="28"/>
          <w:highlight w:val="white"/>
        </w:rPr>
        <w:t xml:space="preserve">инистерство проводит следующие контрольные (надзорные) мероприятия</w:t>
      </w:r>
      <w:r>
        <w:rPr>
          <w:highlight w:val="white"/>
        </w:rPr>
        <w:t xml:space="preserve"> </w:t>
      </w:r>
      <w:r>
        <w:rPr>
          <w:sz w:val="28"/>
          <w:highlight w:val="white"/>
        </w:rPr>
        <w:t xml:space="preserve">с взаимодействием с контролируемым лицом:</w:t>
      </w:r>
      <w:r/>
    </w:p>
    <w:p>
      <w:pPr>
        <w:ind w:firstLine="708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контрольная</w:t>
      </w:r>
      <w:r>
        <w:rPr>
          <w:sz w:val="28"/>
          <w:highlight w:val="white"/>
        </w:rPr>
        <w:t xml:space="preserve"> закупка;</w:t>
      </w:r>
      <w:r/>
    </w:p>
    <w:p>
      <w:pPr>
        <w:ind w:firstLine="708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мониторинговая закупка;</w:t>
      </w:r>
      <w:r/>
    </w:p>
    <w:p>
      <w:pPr>
        <w:ind w:firstLine="708"/>
        <w:jc w:val="both"/>
        <w:rPr>
          <w:highlight w:val="white"/>
        </w:rPr>
      </w:pPr>
      <w:r>
        <w:rPr>
          <w:sz w:val="28"/>
          <w:highlight w:val="white"/>
        </w:rPr>
        <w:t xml:space="preserve">инспекционный визит;</w:t>
      </w:r>
      <w:r/>
    </w:p>
    <w:p>
      <w:pPr>
        <w:ind w:firstLine="708"/>
        <w:jc w:val="both"/>
        <w:rPr>
          <w:highlight w:val="white"/>
        </w:rPr>
      </w:pPr>
      <w:r>
        <w:rPr>
          <w:sz w:val="28"/>
          <w:highlight w:val="white"/>
        </w:rPr>
        <w:t xml:space="preserve">документарная проверка;</w:t>
      </w:r>
      <w:r/>
    </w:p>
    <w:p>
      <w:pPr>
        <w:ind w:firstLine="708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выездная проверка.</w:t>
      </w:r>
      <w:r/>
    </w:p>
    <w:p>
      <w:pPr>
        <w:ind w:firstLine="708"/>
        <w:jc w:val="both"/>
        <w:rPr>
          <w:highlight w:val="white"/>
        </w:rPr>
      </w:pPr>
      <w:r>
        <w:rPr>
          <w:sz w:val="28"/>
          <w:highlight w:val="white"/>
        </w:rPr>
        <w:t xml:space="preserve">4.1. Контрольная закупка.</w:t>
      </w:r>
      <w:r/>
    </w:p>
    <w:p>
      <w:pPr>
        <w:ind w:firstLine="708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Контрольная закупка проводится в соответствии со статьей 67 Закона о контроле.</w:t>
      </w:r>
      <w:r/>
    </w:p>
    <w:p>
      <w:pPr>
        <w:ind w:firstLine="708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В ходе контрольной закупки могут совершаться следующи</w:t>
      </w:r>
      <w:r>
        <w:rPr>
          <w:sz w:val="28"/>
          <w:highlight w:val="white"/>
        </w:rPr>
        <w:t xml:space="preserve">е контрольные (надзорные) действия: </w:t>
      </w:r>
      <w:r/>
    </w:p>
    <w:p>
      <w:pPr>
        <w:ind w:firstLine="708"/>
        <w:jc w:val="both"/>
        <w:rPr>
          <w:highlight w:val="white"/>
        </w:rPr>
      </w:pPr>
      <w:r>
        <w:rPr>
          <w:sz w:val="28"/>
          <w:highlight w:val="white"/>
        </w:rPr>
        <w:t xml:space="preserve">1) осмотр;</w:t>
      </w:r>
      <w:r/>
    </w:p>
    <w:p>
      <w:pPr>
        <w:ind w:firstLine="708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2) эксперимент;</w:t>
      </w:r>
      <w:r/>
    </w:p>
    <w:p>
      <w:pPr>
        <w:ind w:firstLine="708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3) получение письменных объяснений (при выявлении нарушений обязательных требований);</w:t>
      </w:r>
      <w:r/>
    </w:p>
    <w:p>
      <w:pPr>
        <w:ind w:firstLine="708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4) опрос (при выявлении нарушений обязательных требований).</w:t>
      </w:r>
      <w:r/>
    </w:p>
    <w:p>
      <w:pPr>
        <w:ind w:firstLine="540"/>
        <w:jc w:val="both"/>
        <w:widowControl/>
        <w:rPr>
          <w:sz w:val="28"/>
          <w:szCs w:val="28"/>
          <w:highlight w:val="white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sz w:val="28"/>
          <w:szCs w:val="28"/>
          <w:highlight w:val="white"/>
          <w:lang w:eastAsia="en-US"/>
        </w:rPr>
        <w:t xml:space="preserve">Срок проведения контрольной закупки определяется периодом времени, в течение которого обычно осуществляется сделка, указанная в </w:t>
      </w:r>
      <w:hyperlink r:id="rId10" w:tooltip="https://login.consultant.ru/link/?req=doc&amp;base=LAW&amp;n=508984&amp;dst=100750" w:history="1">
        <w:r>
          <w:rPr>
            <w:color w:val="0000FF"/>
            <w:sz w:val="28"/>
            <w:szCs w:val="28"/>
            <w:highlight w:val="white"/>
            <w:lang w:eastAsia="en-US"/>
          </w:rPr>
          <w:t xml:space="preserve">части 1 статьи 67</w:t>
        </w:r>
      </w:hyperlink>
      <w:r>
        <w:rPr>
          <w:sz w:val="28"/>
          <w:szCs w:val="28"/>
          <w:highlight w:val="white"/>
          <w:lang w:eastAsia="en-US"/>
        </w:rPr>
        <w:t xml:space="preserve"> Закона о контроле. Срок непосредственного личного взаимодействия инспектора и контролируемого лица в рамках проведения контрольной закупки не может превышать один рабочий день.</w:t>
      </w:r>
      <w:r/>
    </w:p>
    <w:p>
      <w:pPr>
        <w:ind w:firstLine="708"/>
        <w:jc w:val="both"/>
        <w:rPr>
          <w:highlight w:val="white"/>
        </w:rPr>
      </w:pPr>
      <w:r>
        <w:rPr>
          <w:sz w:val="28"/>
          <w:highlight w:val="white"/>
        </w:rPr>
        <w:t xml:space="preserve">4.2. </w:t>
      </w:r>
      <w:r>
        <w:rPr>
          <w:sz w:val="28"/>
          <w:highlight w:val="white"/>
        </w:rPr>
        <w:t xml:space="preserve">Мониторинговая закупка.</w:t>
      </w:r>
      <w:r/>
    </w:p>
    <w:p>
      <w:pPr>
        <w:ind w:firstLine="708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Мониторинговая  закупка проводится в соответствии со статьей 68 Закона о контроле.</w:t>
      </w:r>
      <w:r/>
    </w:p>
    <w:p>
      <w:pPr>
        <w:ind w:firstLine="708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В ходе мониторинговой закупки могут совершаться следующие контрольные (надзорные) действия: </w:t>
      </w:r>
      <w:r/>
    </w:p>
    <w:p>
      <w:pPr>
        <w:ind w:firstLine="708"/>
        <w:jc w:val="both"/>
        <w:rPr>
          <w:highlight w:val="white"/>
        </w:rPr>
      </w:pPr>
      <w:r>
        <w:rPr>
          <w:sz w:val="28"/>
          <w:highlight w:val="white"/>
        </w:rPr>
        <w:t xml:space="preserve">1) осмотр;</w:t>
      </w:r>
      <w:r/>
    </w:p>
    <w:p>
      <w:pPr>
        <w:ind w:firstLine="708"/>
        <w:jc w:val="both"/>
        <w:rPr>
          <w:highlight w:val="white"/>
        </w:rPr>
      </w:pPr>
      <w:r>
        <w:rPr>
          <w:sz w:val="28"/>
          <w:highlight w:val="white"/>
        </w:rPr>
        <w:t xml:space="preserve">2) опрос;</w:t>
      </w:r>
      <w:r/>
    </w:p>
    <w:p>
      <w:pPr>
        <w:ind w:firstLine="708"/>
        <w:jc w:val="both"/>
        <w:rPr>
          <w:highlight w:val="white"/>
        </w:rPr>
      </w:pPr>
      <w:r>
        <w:rPr>
          <w:sz w:val="28"/>
          <w:highlight w:val="white"/>
        </w:rPr>
        <w:t xml:space="preserve">3) эксперимент;</w:t>
      </w:r>
      <w:r/>
    </w:p>
    <w:p>
      <w:pPr>
        <w:ind w:firstLine="708"/>
        <w:jc w:val="both"/>
        <w:rPr>
          <w:highlight w:val="white"/>
        </w:rPr>
      </w:pPr>
      <w:r>
        <w:rPr>
          <w:sz w:val="28"/>
          <w:highlight w:val="white"/>
        </w:rPr>
        <w:t xml:space="preserve">4) инструментальное</w:t>
      </w:r>
      <w:r>
        <w:rPr>
          <w:sz w:val="28"/>
          <w:highlight w:val="white"/>
        </w:rPr>
        <w:t xml:space="preserve"> обследование;</w:t>
      </w:r>
      <w:r/>
    </w:p>
    <w:p>
      <w:pPr>
        <w:ind w:firstLine="708"/>
        <w:jc w:val="both"/>
        <w:rPr>
          <w:highlight w:val="white"/>
        </w:rPr>
      </w:pPr>
      <w:r>
        <w:rPr>
          <w:sz w:val="28"/>
          <w:highlight w:val="white"/>
        </w:rPr>
        <w:t xml:space="preserve">5) истребование документов;</w:t>
      </w:r>
      <w:r/>
    </w:p>
    <w:p>
      <w:pPr>
        <w:ind w:firstLine="708"/>
        <w:jc w:val="both"/>
        <w:rPr>
          <w:highlight w:val="white"/>
        </w:rPr>
      </w:pPr>
      <w:r>
        <w:rPr>
          <w:sz w:val="28"/>
          <w:highlight w:val="white"/>
        </w:rPr>
        <w:t xml:space="preserve">6) испытание;</w:t>
      </w:r>
      <w:r/>
    </w:p>
    <w:p>
      <w:pPr>
        <w:ind w:firstLine="708"/>
        <w:jc w:val="both"/>
        <w:rPr>
          <w:highlight w:val="white"/>
        </w:rPr>
      </w:pPr>
      <w:r>
        <w:rPr>
          <w:sz w:val="28"/>
          <w:highlight w:val="white"/>
        </w:rPr>
        <w:t xml:space="preserve">7) экспертиза.</w:t>
      </w:r>
      <w:r/>
    </w:p>
    <w:p>
      <w:pPr>
        <w:ind w:firstLine="540"/>
        <w:jc w:val="both"/>
        <w:widowControl/>
        <w:rPr>
          <w:sz w:val="28"/>
          <w:szCs w:val="28"/>
          <w:highlight w:val="white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sz w:val="28"/>
          <w:szCs w:val="28"/>
          <w:highlight w:val="white"/>
          <w:lang w:eastAsia="en-US"/>
        </w:rPr>
        <w:t xml:space="preserve">Срок проведения мониторинговой закупки определяется периодом времени, в течение которого обычно осуществляется сделка</w:t>
      </w:r>
      <w:r>
        <w:rPr>
          <w:highlight w:val="white"/>
        </w:rPr>
        <w:t xml:space="preserve"> </w:t>
      </w:r>
      <w:r>
        <w:rPr>
          <w:sz w:val="28"/>
          <w:szCs w:val="28"/>
          <w:highlight w:val="white"/>
          <w:lang w:eastAsia="en-US"/>
        </w:rPr>
        <w:t xml:space="preserve">и проводятся необходимые инструментальное обследование, испытание </w:t>
      </w:r>
      <w:r>
        <w:rPr>
          <w:sz w:val="28"/>
          <w:szCs w:val="28"/>
          <w:highlight w:val="white"/>
          <w:lang w:eastAsia="en-US"/>
        </w:rPr>
        <w:t xml:space="preserve">или экспертиза, указанные в </w:t>
      </w:r>
      <w:hyperlink r:id="rId11" w:tooltip="https://login.consultant.ru/link/?req=doc&amp;base=LAW&amp;n=508984&amp;dst=100750" w:history="1">
        <w:r>
          <w:rPr>
            <w:color w:val="0000FF"/>
            <w:sz w:val="28"/>
            <w:szCs w:val="28"/>
            <w:highlight w:val="white"/>
            <w:lang w:eastAsia="en-US"/>
          </w:rPr>
          <w:t xml:space="preserve">части 1 статьи 68</w:t>
        </w:r>
      </w:hyperlink>
      <w:r>
        <w:rPr>
          <w:sz w:val="28"/>
          <w:szCs w:val="28"/>
          <w:highlight w:val="white"/>
          <w:lang w:eastAsia="en-US"/>
        </w:rPr>
        <w:t xml:space="preserve"> Закона о контроле. Срок непосредственного лично</w:t>
      </w:r>
      <w:r>
        <w:rPr>
          <w:sz w:val="28"/>
          <w:szCs w:val="28"/>
          <w:highlight w:val="white"/>
          <w:lang w:eastAsia="en-US"/>
        </w:rPr>
        <w:t xml:space="preserve">го взаимодействия инспектора и контролируемого лица в рамках проведения контрольной закупки не может превышать один рабочий день.</w:t>
      </w:r>
      <w:r/>
    </w:p>
    <w:p>
      <w:pPr>
        <w:ind w:firstLine="708"/>
        <w:jc w:val="both"/>
        <w:rPr>
          <w:highlight w:val="white"/>
        </w:rPr>
      </w:pPr>
      <w:r>
        <w:rPr>
          <w:sz w:val="28"/>
          <w:highlight w:val="white"/>
        </w:rPr>
        <w:t xml:space="preserve">4.3. Инспекционный визит.</w:t>
      </w:r>
      <w:r/>
    </w:p>
    <w:p>
      <w:pPr>
        <w:ind w:firstLine="708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Инспекционный визит проводится в соответствии со статьей 70 Закона о контроле.</w:t>
      </w:r>
      <w:r/>
    </w:p>
    <w:p>
      <w:pPr>
        <w:ind w:firstLine="708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В ходе инспекционного</w:t>
      </w:r>
      <w:r>
        <w:rPr>
          <w:sz w:val="28"/>
          <w:highlight w:val="white"/>
        </w:rPr>
        <w:t xml:space="preserve"> визита могут совершаться следующие контрольные (надзорные) действия:</w:t>
      </w:r>
      <w:r/>
    </w:p>
    <w:p>
      <w:pPr>
        <w:ind w:firstLine="708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1) осмотр;</w:t>
      </w:r>
      <w:r/>
    </w:p>
    <w:p>
      <w:pPr>
        <w:ind w:firstLine="708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2) опрос;</w:t>
      </w:r>
      <w:r/>
    </w:p>
    <w:p>
      <w:pPr>
        <w:ind w:firstLine="708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3) получение письменных объяснений;</w:t>
      </w:r>
      <w:r/>
    </w:p>
    <w:p>
      <w:pPr>
        <w:ind w:firstLine="708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4) истребование документов, которые в соответствии с обязательными требованиями должны находиться в месте нахождения (осуществлен</w:t>
      </w:r>
      <w:r>
        <w:rPr>
          <w:sz w:val="28"/>
          <w:highlight w:val="white"/>
        </w:rPr>
        <w:t xml:space="preserve">ия деятельности) объекта контроля. </w:t>
      </w:r>
      <w:r/>
    </w:p>
    <w:p>
      <w:pPr>
        <w:ind w:firstLine="708"/>
        <w:jc w:val="both"/>
        <w:rPr>
          <w:highlight w:val="white"/>
        </w:rPr>
      </w:pPr>
      <w:r>
        <w:rPr>
          <w:sz w:val="28"/>
          <w:highlight w:val="white"/>
        </w:rPr>
        <w:t xml:space="preserve">4.4. Документарная проверка.</w:t>
      </w:r>
      <w:r/>
    </w:p>
    <w:p>
      <w:pPr>
        <w:ind w:firstLine="708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Документарная проверка проводится в соответствии со статьей 72 Закона о контроле.</w:t>
      </w:r>
      <w:r/>
    </w:p>
    <w:p>
      <w:pPr>
        <w:ind w:firstLine="708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В ходе документарной проверки могут совершаться следующие контрольные (надзорные) действия:</w:t>
      </w:r>
      <w:r/>
    </w:p>
    <w:p>
      <w:pPr>
        <w:ind w:firstLine="708"/>
        <w:jc w:val="both"/>
        <w:rPr>
          <w:highlight w:val="white"/>
        </w:rPr>
      </w:pPr>
      <w:r>
        <w:rPr>
          <w:sz w:val="28"/>
          <w:highlight w:val="white"/>
        </w:rPr>
        <w:t xml:space="preserve">1) получение письменных объяснений;</w:t>
      </w:r>
      <w:r/>
    </w:p>
    <w:p>
      <w:pPr>
        <w:ind w:firstLine="708"/>
        <w:jc w:val="both"/>
        <w:rPr>
          <w:highlight w:val="white"/>
        </w:rPr>
      </w:pPr>
      <w:r>
        <w:rPr>
          <w:sz w:val="28"/>
          <w:highlight w:val="white"/>
        </w:rPr>
        <w:t xml:space="preserve">2) истребование документов;</w:t>
      </w:r>
      <w:r/>
    </w:p>
    <w:p>
      <w:pPr>
        <w:ind w:firstLine="708"/>
        <w:jc w:val="both"/>
        <w:rPr>
          <w:highlight w:val="white"/>
        </w:rPr>
      </w:pPr>
      <w:r>
        <w:rPr>
          <w:sz w:val="28"/>
          <w:highlight w:val="white"/>
        </w:rPr>
        <w:t xml:space="preserve">3) экспертиза.</w:t>
      </w:r>
      <w:r/>
    </w:p>
    <w:p>
      <w:pPr>
        <w:ind w:firstLine="708"/>
        <w:jc w:val="both"/>
        <w:rPr>
          <w:highlight w:val="white"/>
        </w:rPr>
      </w:pPr>
      <w:r>
        <w:rPr>
          <w:sz w:val="28"/>
          <w:highlight w:val="white"/>
        </w:rPr>
        <w:t xml:space="preserve">4.5. Выездная проверка.</w:t>
      </w:r>
      <w:r/>
    </w:p>
    <w:p>
      <w:pPr>
        <w:ind w:firstLine="540"/>
        <w:jc w:val="both"/>
        <w:widowControl/>
        <w:rPr>
          <w:sz w:val="28"/>
          <w:szCs w:val="28"/>
          <w:highlight w:val="white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sz w:val="28"/>
          <w:szCs w:val="28"/>
          <w:highlight w:val="white"/>
          <w:lang w:eastAsia="en-US"/>
        </w:rPr>
        <w:t xml:space="preserve">Выездная проверка проводится в соответствии со </w:t>
      </w:r>
      <w:hyperlink r:id="rId12" w:tooltip="https://login.consultant.ru/link/?req=doc&amp;base=LAW&amp;n=508984&amp;dst=100864" w:history="1">
        <w:r>
          <w:rPr>
            <w:color w:val="0000FF"/>
            <w:sz w:val="28"/>
            <w:szCs w:val="28"/>
            <w:highlight w:val="white"/>
            <w:lang w:eastAsia="en-US"/>
          </w:rPr>
          <w:t xml:space="preserve">статьей 73</w:t>
        </w:r>
      </w:hyperlink>
      <w:r>
        <w:rPr>
          <w:sz w:val="28"/>
          <w:szCs w:val="28"/>
          <w:highlight w:val="white"/>
          <w:lang w:eastAsia="en-US"/>
        </w:rPr>
        <w:t xml:space="preserve"> Закона о контроле.</w:t>
      </w:r>
      <w:r/>
    </w:p>
    <w:p>
      <w:pPr>
        <w:ind w:firstLine="540"/>
        <w:jc w:val="both"/>
        <w:widowControl/>
        <w:rPr>
          <w:sz w:val="28"/>
          <w:szCs w:val="28"/>
          <w:highlight w:val="white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sz w:val="28"/>
          <w:szCs w:val="28"/>
          <w:highlight w:val="white"/>
          <w:lang w:eastAsia="en-US"/>
        </w:rPr>
        <w:t xml:space="preserve">В ходе выездной проверки могут совершаться следующие контрольные (надзорные) действия:</w:t>
      </w:r>
      <w:r/>
    </w:p>
    <w:p>
      <w:pPr>
        <w:ind w:firstLine="708"/>
        <w:jc w:val="both"/>
        <w:rPr>
          <w:highlight w:val="white"/>
        </w:rPr>
      </w:pPr>
      <w:r>
        <w:rPr>
          <w:sz w:val="28"/>
          <w:highlight w:val="white"/>
        </w:rPr>
        <w:t xml:space="preserve">1) осмотр;</w:t>
      </w:r>
      <w:r/>
    </w:p>
    <w:p>
      <w:pPr>
        <w:ind w:firstLine="708"/>
        <w:jc w:val="both"/>
        <w:rPr>
          <w:highlight w:val="white"/>
        </w:rPr>
      </w:pPr>
      <w:r>
        <w:rPr>
          <w:sz w:val="28"/>
          <w:highlight w:val="white"/>
        </w:rPr>
        <w:t xml:space="preserve">2) досмотр;</w:t>
      </w:r>
      <w:r/>
    </w:p>
    <w:p>
      <w:pPr>
        <w:ind w:firstLine="708"/>
        <w:jc w:val="both"/>
        <w:rPr>
          <w:highlight w:val="white"/>
        </w:rPr>
      </w:pPr>
      <w:r>
        <w:rPr>
          <w:sz w:val="28"/>
          <w:highlight w:val="white"/>
        </w:rPr>
        <w:t xml:space="preserve">3) опрос;</w:t>
      </w:r>
      <w:r/>
    </w:p>
    <w:p>
      <w:pPr>
        <w:ind w:firstLine="708"/>
        <w:jc w:val="both"/>
        <w:rPr>
          <w:highlight w:val="white"/>
        </w:rPr>
      </w:pPr>
      <w:r>
        <w:rPr>
          <w:sz w:val="28"/>
          <w:highlight w:val="white"/>
        </w:rPr>
        <w:t xml:space="preserve">4) получение письменных объяснений;</w:t>
      </w:r>
      <w:r/>
    </w:p>
    <w:p>
      <w:pPr>
        <w:ind w:firstLine="708"/>
        <w:jc w:val="both"/>
        <w:rPr>
          <w:highlight w:val="white"/>
        </w:rPr>
      </w:pPr>
      <w:r>
        <w:rPr>
          <w:sz w:val="28"/>
          <w:highlight w:val="white"/>
        </w:rPr>
        <w:t xml:space="preserve">5) истребован</w:t>
      </w:r>
      <w:r>
        <w:rPr>
          <w:sz w:val="28"/>
          <w:highlight w:val="white"/>
        </w:rPr>
        <w:t xml:space="preserve">ие документов;</w:t>
      </w:r>
      <w:r/>
    </w:p>
    <w:p>
      <w:pPr>
        <w:ind w:firstLine="708"/>
        <w:jc w:val="both"/>
        <w:rPr>
          <w:highlight w:val="white"/>
        </w:rPr>
      </w:pPr>
      <w:r>
        <w:rPr>
          <w:sz w:val="28"/>
          <w:highlight w:val="white"/>
        </w:rPr>
        <w:t xml:space="preserve">6) отбор проб (образцов);</w:t>
      </w:r>
      <w:r/>
    </w:p>
    <w:p>
      <w:pPr>
        <w:ind w:firstLine="708"/>
        <w:jc w:val="both"/>
        <w:rPr>
          <w:highlight w:val="white"/>
        </w:rPr>
      </w:pPr>
      <w:r>
        <w:rPr>
          <w:sz w:val="28"/>
          <w:highlight w:val="white"/>
        </w:rPr>
        <w:t xml:space="preserve">7) инструментальное обследование;</w:t>
      </w:r>
      <w:r/>
    </w:p>
    <w:p>
      <w:pPr>
        <w:ind w:firstLine="708"/>
        <w:jc w:val="both"/>
        <w:rPr>
          <w:highlight w:val="white"/>
        </w:rPr>
      </w:pPr>
      <w:r>
        <w:rPr>
          <w:sz w:val="28"/>
          <w:highlight w:val="white"/>
        </w:rPr>
        <w:t xml:space="preserve">8) испытание;</w:t>
      </w:r>
      <w:r/>
    </w:p>
    <w:p>
      <w:pPr>
        <w:ind w:firstLine="708"/>
        <w:jc w:val="both"/>
        <w:rPr>
          <w:highlight w:val="white"/>
        </w:rPr>
      </w:pPr>
      <w:r>
        <w:rPr>
          <w:sz w:val="28"/>
          <w:highlight w:val="white"/>
        </w:rPr>
        <w:t xml:space="preserve">9) экспертиза;</w:t>
      </w:r>
      <w:r/>
    </w:p>
    <w:p>
      <w:pPr>
        <w:ind w:firstLine="708"/>
        <w:jc w:val="both"/>
        <w:rPr>
          <w:highlight w:val="white"/>
        </w:rPr>
      </w:pPr>
      <w:r>
        <w:rPr>
          <w:sz w:val="28"/>
          <w:highlight w:val="white"/>
        </w:rPr>
        <w:t xml:space="preserve">10) эксперимент.</w:t>
      </w:r>
      <w:r/>
    </w:p>
    <w:p>
      <w:pPr>
        <w:ind w:firstLine="539"/>
        <w:jc w:val="both"/>
        <w:widowControl/>
        <w:rPr>
          <w:sz w:val="28"/>
          <w:szCs w:val="28"/>
          <w:highlight w:val="white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sz w:val="28"/>
          <w:szCs w:val="28"/>
          <w:highlight w:val="white"/>
          <w:lang w:eastAsia="en-US"/>
        </w:rPr>
        <w:t xml:space="preserve">Срок проведения выездной проверки не может превышать 10 рабочих дней.</w:t>
      </w:r>
      <w:r/>
    </w:p>
    <w:p>
      <w:pPr>
        <w:ind w:firstLine="539"/>
        <w:jc w:val="both"/>
        <w:widowControl/>
        <w:rPr>
          <w:sz w:val="28"/>
          <w:szCs w:val="28"/>
          <w:highlight w:val="white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sz w:val="28"/>
          <w:szCs w:val="28"/>
          <w:highlight w:val="white"/>
          <w:lang w:eastAsia="en-US"/>
        </w:rPr>
        <w:t xml:space="preserve">В отношении </w:t>
      </w:r>
      <w:bookmarkStart w:id="0" w:name="_GoBack"/>
      <w:r>
        <w:rPr>
          <w:sz w:val="28"/>
          <w:szCs w:val="28"/>
          <w:highlight w:val="white"/>
          <w:lang w:eastAsia="en-US"/>
        </w:rPr>
        <w:t xml:space="preserve">одного субъекта малого предпринимательства общий срок </w:t>
      </w:r>
      <w:bookmarkEnd w:id="0"/>
      <w:r>
        <w:rPr>
          <w:sz w:val="28"/>
          <w:szCs w:val="28"/>
          <w:highlight w:val="white"/>
          <w:lang w:eastAsia="en-US"/>
        </w:rPr>
        <w:t xml:space="preserve">взаимодействия инспектора и контролируемого лица в ходе проведения выездной проверки не может превышать 50 часов для малого предприятия и 15 часов для </w:t>
      </w:r>
      <w:r>
        <w:rPr>
          <w:sz w:val="28"/>
          <w:szCs w:val="28"/>
          <w:highlight w:val="white"/>
          <w:lang w:eastAsia="en-US"/>
        </w:rPr>
        <w:t xml:space="preserve">микропредприятия</w:t>
      </w:r>
      <w:r>
        <w:rPr>
          <w:sz w:val="28"/>
          <w:szCs w:val="28"/>
          <w:highlight w:val="white"/>
          <w:lang w:eastAsia="en-US"/>
        </w:rPr>
        <w:t xml:space="preserve">.</w:t>
      </w:r>
      <w:r/>
    </w:p>
    <w:p>
      <w:pPr>
        <w:ind w:firstLine="708"/>
        <w:jc w:val="both"/>
      </w:pPr>
      <w:r>
        <w:rPr>
          <w:sz w:val="28"/>
          <w:highlight w:val="white"/>
        </w:rPr>
        <w:t xml:space="preserve">Инспектор, уполномоче</w:t>
      </w:r>
      <w:r>
        <w:rPr>
          <w:sz w:val="28"/>
          <w:highlight w:val="white"/>
        </w:rPr>
        <w:t xml:space="preserve">нный на проведение выездной проверки, в том числе с использованием средств дистанционного взаимодействия, вправе направлять контролируемому лицу требование о представлении в течение трех рабочих дней документов (копий документов) и сведений, необходимых и </w:t>
      </w:r>
      <w:r>
        <w:rPr>
          <w:sz w:val="28"/>
          <w:highlight w:val="white"/>
        </w:rPr>
        <w:t xml:space="preserve">(или) имеющих значение для проведения оценки соблюдения контрол</w:t>
      </w:r>
      <w:r>
        <w:rPr>
          <w:sz w:val="28"/>
        </w:rPr>
        <w:t xml:space="preserve">ируемым лицом обязательных требований, в том числе материалов фотосъемки, аудио- и видеозаписи, информационных баз, банков данных, а также иных носителей</w:t>
      </w:r>
      <w:r>
        <w:rPr>
          <w:sz w:val="28"/>
        </w:rPr>
        <w:t xml:space="preserve"> информации, с предоставлением доступа к</w:t>
      </w:r>
      <w:r>
        <w:rPr>
          <w:sz w:val="28"/>
        </w:rPr>
        <w:t xml:space="preserve"> ним за исключением материалов, имеющихся в распоряжении Министерства.</w:t>
      </w:r>
      <w:r/>
    </w:p>
    <w:p>
      <w:pPr>
        <w:ind w:firstLine="708"/>
        <w:jc w:val="both"/>
      </w:pPr>
      <w:r>
        <w:rPr>
          <w:sz w:val="28"/>
        </w:rPr>
        <w:t xml:space="preserve">Перечень документов, которые могут запрашиваться Министерством у контролируемого лица для проведения оценки соблюдения контролируемым лицом обязательных требований, указывается в решени</w:t>
      </w:r>
      <w:r>
        <w:rPr>
          <w:sz w:val="28"/>
        </w:rPr>
        <w:t xml:space="preserve">и Министерства о проведении выездной проверки.</w:t>
      </w:r>
      <w:r/>
    </w:p>
    <w:p>
      <w:pPr>
        <w:ind w:firstLine="708"/>
        <w:jc w:val="both"/>
      </w:pPr>
      <w:r>
        <w:rPr>
          <w:sz w:val="28"/>
        </w:rPr>
        <w:t xml:space="preserve">Контролируемое лицо в сроки, указанные в требовании о представлении документов, направляет </w:t>
      </w:r>
      <w:r>
        <w:rPr>
          <w:sz w:val="28"/>
        </w:rPr>
        <w:t xml:space="preserve">истребуемые</w:t>
      </w:r>
      <w:r>
        <w:rPr>
          <w:sz w:val="28"/>
        </w:rPr>
        <w:t xml:space="preserve"> документы (сведения) в Министерство способом в порядке, предусмотренном в статье 21 Закона о контроле.</w:t>
      </w:r>
      <w:r/>
    </w:p>
    <w:p>
      <w:pPr>
        <w:ind w:firstLine="708"/>
        <w:jc w:val="both"/>
      </w:pPr>
      <w:r>
        <w:rPr>
          <w:sz w:val="28"/>
        </w:rPr>
        <w:t xml:space="preserve">Док</w:t>
      </w:r>
      <w:r>
        <w:rPr>
          <w:sz w:val="28"/>
        </w:rPr>
        <w:t xml:space="preserve">ументы и иные материалы (сведения), являющиеся доказательствами нарушения обязательных требований, приобщаются к акту выездной проверки.</w:t>
      </w:r>
      <w:r/>
    </w:p>
    <w:p>
      <w:pPr>
        <w:ind w:firstLine="708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5. Министерство проводит следующие контрольные (надзорные) мероприятия без взаимодействия с контролируемым лицом:</w:t>
      </w:r>
      <w:r/>
    </w:p>
    <w:p>
      <w:pPr>
        <w:ind w:firstLine="708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1) на</w:t>
      </w:r>
      <w:r>
        <w:rPr>
          <w:sz w:val="28"/>
          <w:highlight w:val="white"/>
        </w:rPr>
        <w:t xml:space="preserve">блюдение за соблюдением обязательных требований;</w:t>
      </w:r>
      <w:r/>
    </w:p>
    <w:p>
      <w:pPr>
        <w:ind w:firstLine="708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2) выездное обследование.</w:t>
      </w:r>
      <w:r/>
    </w:p>
    <w:p>
      <w:pPr>
        <w:ind w:firstLine="708"/>
        <w:jc w:val="both"/>
        <w:rPr>
          <w:sz w:val="28"/>
        </w:rPr>
      </w:pPr>
      <w:r>
        <w:rPr>
          <w:sz w:val="28"/>
        </w:rPr>
        <w:t xml:space="preserve">5.1. Наблюдение за соблюдением обязательных требований осуществляется в соответствии со статьей 74 Закона о контроле.</w:t>
      </w:r>
      <w:r/>
    </w:p>
    <w:p>
      <w:pPr>
        <w:ind w:firstLine="708"/>
        <w:jc w:val="both"/>
        <w:rPr>
          <w:sz w:val="28"/>
        </w:rPr>
      </w:pPr>
      <w:r>
        <w:rPr>
          <w:sz w:val="28"/>
        </w:rPr>
        <w:t xml:space="preserve">5.2. Под выездным обследованием понимается контрольное (надзорн</w:t>
      </w:r>
      <w:r>
        <w:rPr>
          <w:sz w:val="28"/>
        </w:rPr>
        <w:t xml:space="preserve">ое) мероприятие, проводимое в целях визуальной оценки соблюдения контролируемыми лицами обязательных требований в соответствии со статьей 75 Закона о контроле.</w:t>
      </w:r>
      <w:r/>
    </w:p>
    <w:p>
      <w:pPr>
        <w:ind w:firstLine="708"/>
        <w:jc w:val="both"/>
      </w:pPr>
      <w:r>
        <w:rPr>
          <w:sz w:val="28"/>
        </w:rPr>
        <w:t xml:space="preserve">В ходе выездного обследования может совершаться осмотр. Наблюдение за соблюдением обязательных т</w:t>
      </w:r>
      <w:r>
        <w:rPr>
          <w:sz w:val="28"/>
        </w:rPr>
        <w:t xml:space="preserve">ребований (мониторинг безопасности).</w:t>
      </w:r>
      <w:r/>
    </w:p>
    <w:p>
      <w:pPr>
        <w:ind w:firstLine="708"/>
        <w:jc w:val="both"/>
      </w:pPr>
      <w:r>
        <w:rPr>
          <w:sz w:val="28"/>
        </w:rPr>
        <w:t xml:space="preserve">6. Индивидуальный предприниматель, гражданин, являющийся контролируемым лицом, вправе представить в Министерство документально подтвержденную информацию о невозможности присутствия при проведении контрольного (надзорног</w:t>
      </w:r>
      <w:r>
        <w:rPr>
          <w:sz w:val="28"/>
        </w:rPr>
        <w:t xml:space="preserve">о) мероприятия в случаях:</w:t>
      </w:r>
      <w:r/>
    </w:p>
    <w:p>
      <w:pPr>
        <w:ind w:firstLine="708"/>
        <w:jc w:val="both"/>
      </w:pPr>
      <w:r>
        <w:rPr>
          <w:sz w:val="28"/>
        </w:rPr>
        <w:t xml:space="preserve">а) временной нетрудоспособности индивидуального предпринимателя, гражданина;</w:t>
      </w:r>
      <w:r/>
    </w:p>
    <w:p>
      <w:pPr>
        <w:ind w:firstLine="708"/>
        <w:jc w:val="both"/>
      </w:pPr>
      <w:r>
        <w:rPr>
          <w:sz w:val="28"/>
        </w:rPr>
        <w:t xml:space="preserve">б) нахождения индивидуального предпринимателя, гражданина в служебной командировке.</w:t>
      </w:r>
      <w:r/>
    </w:p>
    <w:p>
      <w:pPr>
        <w:ind w:firstLine="708"/>
        <w:jc w:val="both"/>
      </w:pPr>
      <w:r>
        <w:rPr>
          <w:sz w:val="28"/>
        </w:rPr>
        <w:t xml:space="preserve">7. Особенности оценки соблюдения лицензионных требований контролируем</w:t>
      </w:r>
      <w:r>
        <w:rPr>
          <w:sz w:val="28"/>
        </w:rPr>
        <w:t xml:space="preserve">ыми лицами, имеющими лицензию определяются положениями Закона о контроле и Федеральным законом о государственном регулировании алкогольной продукции и настоящим Положением.»;  </w:t>
      </w:r>
      <w:r/>
    </w:p>
    <w:p>
      <w:pPr>
        <w:ind w:firstLine="708"/>
        <w:jc w:val="both"/>
        <w:rPr>
          <w:sz w:val="28"/>
          <w:highlight w:val="white"/>
        </w:rPr>
      </w:pPr>
      <w:r>
        <w:rPr>
          <w:sz w:val="28"/>
        </w:rPr>
        <w:t xml:space="preserve">1.3. пункт 4 </w:t>
      </w:r>
      <w:hyperlink r:id="rId13" w:tooltip="https://login.consultant.ru/link/?req=doc&amp;base=RLAW021&amp;n=183315&amp;dst=100280" w:history="1">
        <w:r>
          <w:rPr>
            <w:sz w:val="28"/>
          </w:rPr>
          <w:t xml:space="preserve">приложения № 1</w:t>
        </w:r>
      </w:hyperlink>
      <w:r>
        <w:rPr>
          <w:sz w:val="28"/>
          <w:highlight w:val="white"/>
        </w:rPr>
        <w:t xml:space="preserve"> к </w:t>
      </w:r>
      <w:r>
        <w:rPr>
          <w:sz w:val="28"/>
          <w:highlight w:val="white"/>
        </w:rPr>
        <w:t xml:space="preserve">П</w:t>
      </w:r>
      <w:r>
        <w:rPr>
          <w:highlight w:val="white"/>
        </w:rPr>
        <w:fldChar w:fldCharType="begin"/>
      </w:r>
      <w:r>
        <w:rPr>
          <w:highlight w:val="white"/>
        </w:rPr>
        <w:instrText xml:space="preserve"> HYPERLINK "https://login.consultant.ru/link/?req=doc&amp;base=RLAW021&amp;n=183315&amp;dst=100020" \o "https://login.consultant.ru/link/?req=doc</w:instrText>
      </w:r>
      <w:r>
        <w:rPr>
          <w:highlight w:val="white"/>
        </w:rPr>
        <w:instrText xml:space="preserve">&amp;base=RLAW021&amp;n=183315&amp;dst=100020" </w:instrText>
      </w:r>
      <w:r>
        <w:rPr>
          <w:highlight w:val="white"/>
        </w:rPr>
        <w:fldChar w:fldCharType="separate"/>
      </w:r>
      <w:r>
        <w:rPr>
          <w:sz w:val="28"/>
          <w:highlight w:val="white"/>
        </w:rPr>
        <w:t xml:space="preserve">оложению </w:t>
      </w:r>
      <w:r>
        <w:rPr>
          <w:sz w:val="28"/>
          <w:highlight w:val="white"/>
        </w:rPr>
        <w:fldChar w:fldCharType="end"/>
      </w:r>
      <w:r>
        <w:rPr>
          <w:sz w:val="28"/>
          <w:highlight w:val="white"/>
        </w:rPr>
        <w:t xml:space="preserve">дополнить подпунктами 13 – 20  следующего содержания:</w:t>
      </w:r>
      <w:r/>
    </w:p>
    <w:p>
      <w:pPr>
        <w:ind w:firstLine="567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«13) Увеличение объема продаж контролируемыми лицами, реализующими алкогольную продукцию, более чем в три раза в дни запрета реализации такой продукции, по</w:t>
      </w:r>
      <w:r>
        <w:rPr>
          <w:sz w:val="28"/>
          <w:highlight w:val="white"/>
        </w:rPr>
        <w:t xml:space="preserve"> сравнению со среднесуточным объемом продаж в течение 30 календарных дней по данным ЕГАИС, ГИС МТ (Честный знак);</w:t>
      </w:r>
      <w:r/>
    </w:p>
    <w:p>
      <w:pPr>
        <w:ind w:firstLine="567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14) Увеличение объема продаж контролируемыми лицами, реализующими алкогольную продукцию, более чем в три раза за 1 час до вступления в силу ог</w:t>
      </w:r>
      <w:r>
        <w:rPr>
          <w:sz w:val="28"/>
          <w:highlight w:val="white"/>
        </w:rPr>
        <w:t xml:space="preserve">раничений на продажу алкоголя и в течение 1 часа после возобновления разрешенного времени торговли по сравнению со среднесуточным объемом продаж в течение 30 календарных дней, сведений по данным ЕГАИС, ГИС МТ (Честный знак);</w:t>
      </w:r>
      <w:r/>
    </w:p>
    <w:p>
      <w:pPr>
        <w:ind w:firstLine="567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15) Отсутствие в ЕГАИС, ГИС МТ </w:t>
      </w:r>
      <w:r>
        <w:rPr>
          <w:sz w:val="28"/>
          <w:highlight w:val="white"/>
        </w:rPr>
        <w:t xml:space="preserve">(Честный знак) зафиксированной информации об объеме розничной продажи алкогольной продукции на протяжении более 30 календарных дней, при наличии в ЕГАИС, ГИС МТ </w:t>
      </w:r>
      <w:r>
        <w:rPr>
          <w:sz w:val="28"/>
          <w:highlight w:val="white"/>
        </w:rPr>
        <w:t xml:space="preserve">(Честный знак), зафиксированной информации об объеме закупки алкогольной продукции и (или) имею</w:t>
      </w:r>
      <w:r>
        <w:rPr>
          <w:sz w:val="28"/>
          <w:highlight w:val="white"/>
        </w:rPr>
        <w:t xml:space="preserve">щихся остатках алкогольной продукции;</w:t>
      </w:r>
      <w:r/>
    </w:p>
    <w:p>
      <w:pPr>
        <w:ind w:firstLine="567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16) Отсутствие  в ЕГАИС, ГИС МТ (Честный знак) зафиксированной  информации об объемах закупки пива и пивных напитков, сидра, </w:t>
      </w:r>
      <w:r>
        <w:rPr>
          <w:sz w:val="28"/>
          <w:highlight w:val="white"/>
        </w:rPr>
        <w:t xml:space="preserve">пуаре</w:t>
      </w:r>
      <w:r>
        <w:rPr>
          <w:sz w:val="28"/>
          <w:highlight w:val="white"/>
        </w:rPr>
        <w:t xml:space="preserve">, медовухи на протяжении более 30 календарных дней при наличии информации о розничной пр</w:t>
      </w:r>
      <w:r>
        <w:rPr>
          <w:sz w:val="28"/>
          <w:highlight w:val="white"/>
        </w:rPr>
        <w:t xml:space="preserve">одаже;</w:t>
      </w:r>
      <w:r/>
    </w:p>
    <w:p>
      <w:pPr>
        <w:ind w:firstLine="567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17) Наличие сведений, зафиксированных в ЕГАИС, ГИС МТ (Честный знак) о закупке пива и пивных напитков, сидра, </w:t>
      </w:r>
      <w:r>
        <w:rPr>
          <w:sz w:val="28"/>
          <w:highlight w:val="white"/>
        </w:rPr>
        <w:t xml:space="preserve">пуаре</w:t>
      </w:r>
      <w:r>
        <w:rPr>
          <w:sz w:val="28"/>
          <w:highlight w:val="white"/>
        </w:rPr>
        <w:t xml:space="preserve">, медовухи, подлежащих обязательной маркировке, в </w:t>
      </w:r>
      <w:r>
        <w:rPr>
          <w:sz w:val="28"/>
          <w:highlight w:val="white"/>
        </w:rPr>
        <w:t xml:space="preserve">объеме</w:t>
      </w:r>
      <w:r>
        <w:rPr>
          <w:sz w:val="28"/>
          <w:highlight w:val="white"/>
        </w:rPr>
        <w:t xml:space="preserve"> превышающем более 50 процентов объема розничной продажи указанной продукции, в течение текущего квартала, в объекте, в котором контролируемое лицо осуществляет деятельность, по сравнению с предыдущим кварталом;</w:t>
      </w:r>
      <w:r/>
    </w:p>
    <w:p>
      <w:pPr>
        <w:ind w:firstLine="567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18) Наличие в ЕГАИС, ГИС МТ (Честный знак) з</w:t>
      </w:r>
      <w:r>
        <w:rPr>
          <w:sz w:val="28"/>
          <w:highlight w:val="white"/>
        </w:rPr>
        <w:t xml:space="preserve">афиксированной информации о реализации более 90 процентов алкогольной продукции в период разрешенного времени реализации от общего объема реализованной в объекте розничной продажи такой продукции в течение календарного дня;</w:t>
      </w:r>
      <w:r/>
    </w:p>
    <w:p>
      <w:pPr>
        <w:ind w:firstLine="567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19) Наличие в ЕГАИС, ГИС МТ (Чес</w:t>
      </w:r>
      <w:r>
        <w:rPr>
          <w:sz w:val="28"/>
          <w:highlight w:val="white"/>
        </w:rPr>
        <w:t xml:space="preserve">тный знак) зафиксированной информации об остатках алкогольной продукции в обособленном подразделении контролируемого лица в количестве, превышающем объем закупок </w:t>
      </w:r>
      <w:r>
        <w:rPr>
          <w:sz w:val="28"/>
          <w:highlight w:val="white"/>
        </w:rPr>
        <w:t xml:space="preserve">за</w:t>
      </w:r>
      <w:r>
        <w:rPr>
          <w:sz w:val="28"/>
          <w:highlight w:val="white"/>
        </w:rPr>
        <w:t xml:space="preserve"> предшествующие 6 месяцев;</w:t>
      </w:r>
      <w:r/>
    </w:p>
    <w:p>
      <w:pPr>
        <w:ind w:firstLine="567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20) Получение результатов работы систем (методов) дистанционного </w:t>
      </w:r>
      <w:r>
        <w:rPr>
          <w:sz w:val="28"/>
          <w:highlight w:val="white"/>
        </w:rPr>
        <w:t xml:space="preserve">контроля, в том числе с применением специальных технических средств, имеющих функции фотосъемки</w:t>
      </w:r>
      <w:r>
        <w:rPr>
          <w:sz w:val="28"/>
          <w:highlight w:val="white"/>
        </w:rPr>
        <w:t xml:space="preserve"> ,</w:t>
      </w:r>
      <w:r>
        <w:rPr>
          <w:sz w:val="28"/>
          <w:highlight w:val="white"/>
        </w:rPr>
        <w:t xml:space="preserve"> и видеозаписи, и (или) наличие  в </w:t>
      </w:r>
      <w:r>
        <w:rPr>
          <w:sz w:val="28"/>
          <w:highlight w:val="white"/>
        </w:rPr>
        <w:t xml:space="preserve">поисковоинформационных</w:t>
      </w:r>
      <w:r>
        <w:rPr>
          <w:sz w:val="28"/>
          <w:highlight w:val="white"/>
        </w:rPr>
        <w:t xml:space="preserve"> картографических, географических информационных системах и сервисах информации, свидетельствующих о 2</w:t>
      </w:r>
      <w:r>
        <w:rPr>
          <w:sz w:val="28"/>
          <w:highlight w:val="white"/>
        </w:rPr>
        <w:t xml:space="preserve"> и более в течение квартала фактах подтверждения входа в торговый объект со стороны подъездов многоквартирного дома для посещения этого объекта покупателями, в котором согласно сведениям из ЕГАИС, ГИС МТ ведется деятельность по розничной продаже пива и пив</w:t>
      </w:r>
      <w:r>
        <w:rPr>
          <w:sz w:val="28"/>
          <w:highlight w:val="white"/>
        </w:rPr>
        <w:t xml:space="preserve">ных напитков, сидра, </w:t>
      </w:r>
      <w:r>
        <w:rPr>
          <w:sz w:val="28"/>
          <w:highlight w:val="white"/>
        </w:rPr>
        <w:t xml:space="preserve">пуаре</w:t>
      </w:r>
      <w:r>
        <w:rPr>
          <w:sz w:val="28"/>
          <w:highlight w:val="white"/>
        </w:rPr>
        <w:t xml:space="preserve">, медовухи</w:t>
      </w:r>
      <w:r>
        <w:rPr>
          <w:sz w:val="28"/>
          <w:highlight w:val="white"/>
        </w:rPr>
        <w:t xml:space="preserve">.».</w:t>
      </w:r>
      <w:r/>
    </w:p>
    <w:p>
      <w:pPr>
        <w:ind w:firstLine="567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2. Настоящее постановление вступает в силу со дня его официального опубликования.</w:t>
      </w:r>
      <w:r/>
    </w:p>
    <w:p>
      <w:pPr>
        <w:ind w:firstLine="567"/>
        <w:jc w:val="both"/>
        <w:rPr>
          <w:sz w:val="28"/>
        </w:rPr>
      </w:pPr>
      <w:r>
        <w:rPr>
          <w:sz w:val="28"/>
        </w:rPr>
        <w:t xml:space="preserve">3. Настоящее постановление опубликовать в газете «Пензенские губернские ведомости» и разместить (опубликовать) на «Официальном </w:t>
      </w:r>
      <w:r>
        <w:rPr>
          <w:sz w:val="28"/>
        </w:rPr>
        <w:t xml:space="preserve">интерне</w:t>
      </w:r>
      <w:r>
        <w:rPr>
          <w:sz w:val="28"/>
        </w:rPr>
        <w:t xml:space="preserve">т-портале</w:t>
      </w:r>
      <w:r>
        <w:rPr>
          <w:sz w:val="28"/>
        </w:rPr>
        <w:t xml:space="preserve"> правовой информации» (www.pravo.gov.ru) и на официальном сайте Правительства Пензенской области в информационно-телекоммуникационной сети «Интернет».</w:t>
      </w:r>
      <w:r/>
    </w:p>
    <w:p>
      <w:pPr>
        <w:ind w:firstLine="567"/>
        <w:jc w:val="both"/>
        <w:rPr>
          <w:sz w:val="28"/>
        </w:rPr>
      </w:pPr>
      <w:r>
        <w:rPr>
          <w:sz w:val="28"/>
        </w:rPr>
        <w:t xml:space="preserve">4. </w:t>
      </w:r>
      <w:r>
        <w:rPr>
          <w:sz w:val="28"/>
        </w:rPr>
        <w:t xml:space="preserve">Контроль за</w:t>
      </w:r>
      <w:r>
        <w:rPr>
          <w:sz w:val="28"/>
        </w:rPr>
        <w:t xml:space="preserve"> исполнением настоящего постановления возложить на заместителя Председателя Правит</w:t>
      </w:r>
      <w:r>
        <w:rPr>
          <w:sz w:val="28"/>
        </w:rPr>
        <w:t xml:space="preserve">ельства Пензенской области, координирующего вопросы агропромышленной политики и агропромышленного комплекса.</w:t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rPr>
          <w:sz w:val="28"/>
        </w:rPr>
      </w:pPr>
      <w:r>
        <w:rPr>
          <w:sz w:val="28"/>
          <w:szCs w:val="28"/>
        </w:rPr>
        <w:t xml:space="preserve">Председатель Правительства</w:t>
      </w:r>
      <w:r>
        <w:rPr>
          <w:sz w:val="28"/>
          <w:szCs w:val="28"/>
        </w:rPr>
        <w:br/>
        <w:t xml:space="preserve">Пензенской области                                                                              Н.П. Симонов</w:t>
      </w:r>
      <w:r/>
    </w:p>
    <w:sectPr>
      <w:footnotePr/>
      <w:type w:val="nextPage"/>
      <w:pgSz w:w="11907" w:h="16840" w:orient="portrait"/>
      <w:pgMar w:top="851" w:right="851" w:bottom="682" w:left="1418" w:header="720" w:footer="720" w:gutter="0"/>
      <w:cols w:num="1" w:sep="0" w:space="708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215" w:hanging="1215"/>
      </w:pPr>
    </w:lvl>
    <w:lvl w:ilvl="1">
      <w:start w:val="1"/>
      <w:numFmt w:val="decimal"/>
      <w:isLgl w:val="false"/>
      <w:suff w:val="tab"/>
      <w:lvlText w:val="%1.%2."/>
      <w:lvlJc w:val="left"/>
      <w:pPr>
        <w:ind w:left="1755" w:hanging="121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95" w:hanging="1215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35" w:hanging="1215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75" w:hanging="1215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1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04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5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480" w:hanging="21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99" w:hanging="990"/>
        <w:tabs>
          <w:tab w:val="num" w:pos="1699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  <w:tabs>
          <w:tab w:val="num" w:pos="178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250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322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394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466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538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610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6829" w:leader="none"/>
        </w:tabs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00" w:default="1">
    <w:name w:val="Normal"/>
    <w:next w:val="692"/>
    <w:rPr>
      <w:lang w:val="ru-RU" w:bidi="ar-SA" w:eastAsia="ru-RU"/>
    </w:rPr>
    <w:pPr>
      <w:widowControl w:val="off"/>
    </w:pPr>
  </w:style>
  <w:style w:type="paragraph" w:styleId="401">
    <w:name w:val="Heading 1"/>
    <w:basedOn w:val="400"/>
    <w:next w:val="400"/>
    <w:link w:val="531"/>
    <w:rPr>
      <w:sz w:val="24"/>
    </w:rPr>
    <w:pPr>
      <w:jc w:val="both"/>
      <w:keepNext/>
      <w:outlineLvl w:val="0"/>
    </w:pPr>
  </w:style>
  <w:style w:type="paragraph" w:styleId="402">
    <w:name w:val="Heading 2"/>
    <w:basedOn w:val="400"/>
    <w:next w:val="400"/>
    <w:link w:val="532"/>
    <w:rPr>
      <w:sz w:val="24"/>
    </w:rPr>
    <w:pPr>
      <w:keepNext/>
      <w:outlineLvl w:val="1"/>
    </w:pPr>
  </w:style>
  <w:style w:type="paragraph" w:styleId="403">
    <w:name w:val="Heading 3"/>
    <w:basedOn w:val="400"/>
    <w:next w:val="400"/>
    <w:link w:val="533"/>
    <w:rPr>
      <w:b/>
      <w:sz w:val="40"/>
    </w:rPr>
    <w:pPr>
      <w:jc w:val="center"/>
      <w:keepNext/>
      <w:outlineLvl w:val="2"/>
    </w:pPr>
  </w:style>
  <w:style w:type="paragraph" w:styleId="404">
    <w:name w:val="Heading 4"/>
    <w:basedOn w:val="400"/>
    <w:next w:val="400"/>
    <w:link w:val="534"/>
    <w:rPr>
      <w:sz w:val="28"/>
    </w:rPr>
    <w:pPr>
      <w:jc w:val="center"/>
      <w:keepNext/>
      <w:outlineLvl w:val="3"/>
    </w:pPr>
  </w:style>
  <w:style w:type="paragraph" w:styleId="405">
    <w:name w:val="Heading 5"/>
    <w:link w:val="535"/>
    <w:rPr>
      <w:rFonts w:ascii="Arial" w:hAnsi="Arial" w:eastAsia="Arial"/>
      <w:b/>
      <w:bCs/>
      <w:sz w:val="24"/>
      <w:szCs w:val="24"/>
      <w:lang w:val="ru-RU"/>
    </w:rPr>
    <w:pPr>
      <w:keepLines/>
      <w:keepNext/>
      <w:spacing w:after="200" w:before="320"/>
      <w:outlineLvl w:val="4"/>
    </w:pPr>
  </w:style>
  <w:style w:type="paragraph" w:styleId="406">
    <w:name w:val="Heading 6"/>
    <w:link w:val="536"/>
    <w:rPr>
      <w:rFonts w:ascii="Arial" w:hAnsi="Arial" w:eastAsia="Arial"/>
      <w:b/>
      <w:bCs/>
      <w:sz w:val="22"/>
      <w:lang w:val="ru-RU"/>
    </w:rPr>
    <w:pPr>
      <w:keepLines/>
      <w:keepNext/>
      <w:spacing w:after="200" w:before="320"/>
      <w:outlineLvl w:val="5"/>
    </w:pPr>
  </w:style>
  <w:style w:type="paragraph" w:styleId="407">
    <w:name w:val="Heading 7"/>
    <w:link w:val="537"/>
    <w:rPr>
      <w:rFonts w:ascii="Arial" w:hAnsi="Arial" w:eastAsia="Arial"/>
      <w:b/>
      <w:bCs/>
      <w:i/>
      <w:iCs/>
      <w:sz w:val="22"/>
      <w:lang w:val="ru-RU"/>
    </w:rPr>
    <w:pPr>
      <w:keepLines/>
      <w:keepNext/>
      <w:spacing w:after="200" w:before="320"/>
      <w:outlineLvl w:val="6"/>
    </w:pPr>
  </w:style>
  <w:style w:type="paragraph" w:styleId="408">
    <w:name w:val="Heading 8"/>
    <w:link w:val="538"/>
    <w:rPr>
      <w:rFonts w:ascii="Arial" w:hAnsi="Arial" w:eastAsia="Arial"/>
      <w:i/>
      <w:iCs/>
      <w:sz w:val="22"/>
      <w:lang w:val="ru-RU"/>
    </w:rPr>
    <w:pPr>
      <w:keepLines/>
      <w:keepNext/>
      <w:spacing w:after="200" w:before="320"/>
      <w:outlineLvl w:val="7"/>
    </w:pPr>
  </w:style>
  <w:style w:type="paragraph" w:styleId="409">
    <w:name w:val="Heading 9"/>
    <w:link w:val="539"/>
    <w:rPr>
      <w:rFonts w:ascii="Arial" w:hAnsi="Arial" w:eastAsia="Arial"/>
      <w:i/>
      <w:iCs/>
      <w:sz w:val="21"/>
      <w:szCs w:val="21"/>
      <w:lang w:val="ru-RU"/>
    </w:rPr>
    <w:pPr>
      <w:keepLines/>
      <w:keepNext/>
      <w:spacing w:after="200" w:before="320"/>
      <w:outlineLvl w:val="8"/>
    </w:pPr>
  </w:style>
  <w:style w:type="character" w:styleId="410" w:default="1">
    <w:name w:val="Default Paragraph Font"/>
    <w:uiPriority w:val="1"/>
    <w:semiHidden/>
    <w:unhideWhenUsed/>
  </w:style>
  <w:style w:type="table" w:styleId="4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12" w:default="1">
    <w:name w:val="No List"/>
    <w:uiPriority w:val="99"/>
    <w:semiHidden/>
    <w:unhideWhenUsed/>
  </w:style>
  <w:style w:type="table" w:styleId="413" w:customStyle="1">
    <w:name w:val="Table Grid Light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14" w:customStyle="1">
    <w:name w:val="Plain Table 1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15" w:customStyle="1">
    <w:name w:val="Plain Table 2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16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17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18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19" w:customStyle="1">
    <w:name w:val="Grid Table 1 Light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0" w:customStyle="1">
    <w:name w:val="Grid Table 1 Light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1" w:customStyle="1">
    <w:name w:val="Grid Table 1 Light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2" w:customStyle="1">
    <w:name w:val="Grid Table 1 Light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3" w:customStyle="1">
    <w:name w:val="Grid Table 1 Light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4" w:customStyle="1">
    <w:name w:val="Grid Table 1 Light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5" w:customStyle="1">
    <w:name w:val="Grid Table 1 Light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6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27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28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29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30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31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32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33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34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35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36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37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38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39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0" w:customStyle="1">
    <w:name w:val="Grid Table 4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41" w:customStyle="1">
    <w:name w:val="Grid Table 4 - Accent 1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442" w:customStyle="1">
    <w:name w:val="Grid Table 4 - Accent 2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443" w:customStyle="1">
    <w:name w:val="Grid Table 4 - Accent 3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444" w:customStyle="1">
    <w:name w:val="Grid Table 4 - Accent 4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445" w:customStyle="1">
    <w:name w:val="Grid Table 4 - Accent 5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446" w:customStyle="1">
    <w:name w:val="Grid Table 4 - Accent 6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447" w:customStyle="1">
    <w:name w:val="Grid Table 5 Dark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448" w:customStyle="1">
    <w:name w:val="Grid Table 5 Dark - Accent 2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449" w:customStyle="1">
    <w:name w:val="Grid Table 5 Dark - Accent 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450" w:customStyle="1">
    <w:name w:val="Grid Table 5 Dark - Accent 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451" w:customStyle="1">
    <w:name w:val="Grid Table 5 Dark - Accent 6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452" w:customStyle="1">
    <w:name w:val="Grid Table 6 Colorful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453" w:customStyle="1">
    <w:name w:val="Grid Table 6 Colorful - Accent 1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454" w:customStyle="1">
    <w:name w:val="Grid Table 6 Colorful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455" w:customStyle="1">
    <w:name w:val="Grid Table 6 Colorful - Accent 3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456" w:customStyle="1">
    <w:name w:val="Grid Table 6 Colorful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457" w:customStyle="1">
    <w:name w:val="Grid Table 6 Colorful - Accent 5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58" w:customStyle="1">
    <w:name w:val="Grid Table 6 Colorful - Accent 6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59" w:customStyle="1">
    <w:name w:val="Grid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60" w:customStyle="1">
    <w:name w:val="Grid Table 7 Colorful - Accent 1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61" w:customStyle="1">
    <w:name w:val="Grid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62" w:customStyle="1">
    <w:name w:val="Grid Table 7 Colorful - Accent 3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63" w:customStyle="1">
    <w:name w:val="Grid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64" w:customStyle="1">
    <w:name w:val="Grid Table 7 Colorful - Accent 5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65" w:customStyle="1">
    <w:name w:val="Grid Table 7 Colorful - Accent 6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466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467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468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469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470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471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72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73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474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475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476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477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478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479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480" w:customStyle="1">
    <w:name w:val="List Table 3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1" w:customStyle="1">
    <w:name w:val="List Table 3 - Accent 1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2" w:customStyle="1">
    <w:name w:val="List Table 3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3" w:customStyle="1">
    <w:name w:val="List Table 3 - Accent 3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4" w:customStyle="1">
    <w:name w:val="List Table 3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5" w:customStyle="1">
    <w:name w:val="List Table 3 - Accent 5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6" w:customStyle="1">
    <w:name w:val="List Table 3 - Accent 6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7" w:customStyle="1">
    <w:name w:val="List Table 4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8" w:customStyle="1">
    <w:name w:val="List Table 4 - Accent 1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9" w:customStyle="1">
    <w:name w:val="List Table 4 - Accent 2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0" w:customStyle="1">
    <w:name w:val="List Table 4 - Accent 3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1" w:customStyle="1">
    <w:name w:val="List Table 4 - Accent 4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2" w:customStyle="1">
    <w:name w:val="List Table 4 - Accent 5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3" w:customStyle="1">
    <w:name w:val="List Table 4 - Accent 6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4" w:customStyle="1">
    <w:name w:val="List Table 5 Dark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495" w:customStyle="1">
    <w:name w:val="List Table 5 Dark - Accent 1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496" w:customStyle="1">
    <w:name w:val="List Table 5 Dark - Accent 2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497" w:customStyle="1">
    <w:name w:val="List Table 5 Dark - Accent 3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498" w:customStyle="1">
    <w:name w:val="List Table 5 Dark - Accent 4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499" w:customStyle="1">
    <w:name w:val="List Table 5 Dark - Accent 5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00" w:customStyle="1">
    <w:name w:val="List Table 5 Dark - Accent 6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01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02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03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04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05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06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07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08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09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10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11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512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13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514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515" w:customStyle="1">
    <w:name w:val="Table Normal"/>
    <w:semiHidden/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516" w:customStyle="1">
    <w:name w:val="Heading 1 Char"/>
    <w:rPr>
      <w:rFonts w:ascii="Arial" w:hAnsi="Arial" w:eastAsia="Arial"/>
      <w:sz w:val="40"/>
      <w:szCs w:val="40"/>
    </w:rPr>
  </w:style>
  <w:style w:type="character" w:styleId="517" w:customStyle="1">
    <w:name w:val="Heading 2 Char"/>
    <w:rPr>
      <w:rFonts w:ascii="Arial" w:hAnsi="Arial" w:eastAsia="Arial"/>
      <w:sz w:val="34"/>
    </w:rPr>
  </w:style>
  <w:style w:type="character" w:styleId="518" w:customStyle="1">
    <w:name w:val="Heading 3 Char"/>
    <w:rPr>
      <w:rFonts w:ascii="Arial" w:hAnsi="Arial" w:eastAsia="Arial"/>
      <w:sz w:val="30"/>
      <w:szCs w:val="30"/>
    </w:rPr>
  </w:style>
  <w:style w:type="character" w:styleId="519" w:customStyle="1">
    <w:name w:val="Heading 4 Char"/>
    <w:rPr>
      <w:rFonts w:ascii="Arial" w:hAnsi="Arial" w:eastAsia="Arial"/>
      <w:b/>
      <w:bCs/>
      <w:sz w:val="26"/>
      <w:szCs w:val="26"/>
    </w:rPr>
  </w:style>
  <w:style w:type="character" w:styleId="520" w:customStyle="1">
    <w:name w:val="Heading 5 Char"/>
    <w:rPr>
      <w:rFonts w:ascii="Arial" w:hAnsi="Arial" w:eastAsia="Arial"/>
      <w:b/>
      <w:bCs/>
      <w:sz w:val="24"/>
      <w:szCs w:val="24"/>
    </w:rPr>
  </w:style>
  <w:style w:type="character" w:styleId="521" w:customStyle="1">
    <w:name w:val="Heading 6 Char"/>
    <w:rPr>
      <w:rFonts w:ascii="Arial" w:hAnsi="Arial" w:eastAsia="Arial"/>
      <w:b/>
      <w:bCs/>
      <w:sz w:val="22"/>
      <w:szCs w:val="22"/>
    </w:rPr>
  </w:style>
  <w:style w:type="character" w:styleId="522" w:customStyle="1">
    <w:name w:val="Heading 7 Char"/>
    <w:rPr>
      <w:rFonts w:ascii="Arial" w:hAnsi="Arial" w:eastAsia="Arial"/>
      <w:b/>
      <w:bCs/>
      <w:i/>
      <w:iCs/>
      <w:sz w:val="22"/>
      <w:szCs w:val="22"/>
    </w:rPr>
  </w:style>
  <w:style w:type="character" w:styleId="523" w:customStyle="1">
    <w:name w:val="Heading 8 Char"/>
    <w:rPr>
      <w:rFonts w:ascii="Arial" w:hAnsi="Arial" w:eastAsia="Arial"/>
      <w:i/>
      <w:iCs/>
      <w:sz w:val="22"/>
      <w:szCs w:val="22"/>
    </w:rPr>
  </w:style>
  <w:style w:type="character" w:styleId="524" w:customStyle="1">
    <w:name w:val="Heading 9 Char"/>
    <w:rPr>
      <w:rFonts w:ascii="Arial" w:hAnsi="Arial" w:eastAsia="Arial"/>
      <w:i/>
      <w:iCs/>
      <w:sz w:val="21"/>
      <w:szCs w:val="21"/>
    </w:rPr>
  </w:style>
  <w:style w:type="character" w:styleId="525" w:customStyle="1">
    <w:name w:val="Title Char"/>
    <w:rPr>
      <w:sz w:val="48"/>
      <w:szCs w:val="48"/>
    </w:rPr>
  </w:style>
  <w:style w:type="character" w:styleId="526" w:customStyle="1">
    <w:name w:val="Subtitle Char"/>
    <w:rPr>
      <w:sz w:val="24"/>
      <w:szCs w:val="24"/>
    </w:rPr>
  </w:style>
  <w:style w:type="character" w:styleId="527" w:customStyle="1">
    <w:name w:val="Quote Char"/>
    <w:rPr>
      <w:i/>
    </w:rPr>
  </w:style>
  <w:style w:type="character" w:styleId="528" w:customStyle="1">
    <w:name w:val="Header Char"/>
    <w:basedOn w:val="410"/>
  </w:style>
  <w:style w:type="character" w:styleId="529" w:customStyle="1">
    <w:name w:val="Caption Char"/>
  </w:style>
  <w:style w:type="character" w:styleId="530" w:customStyle="1">
    <w:name w:val="Footnote Text Char"/>
    <w:rPr>
      <w:sz w:val="18"/>
    </w:rPr>
  </w:style>
  <w:style w:type="character" w:styleId="531" w:customStyle="1">
    <w:name w:val="Заголовок 1 Знак"/>
    <w:link w:val="401"/>
    <w:rPr>
      <w:rFonts w:ascii="Arial" w:hAnsi="Arial" w:eastAsia="Arial"/>
      <w:sz w:val="40"/>
      <w:szCs w:val="40"/>
    </w:rPr>
  </w:style>
  <w:style w:type="character" w:styleId="532" w:customStyle="1">
    <w:name w:val="Заголовок 2 Знак"/>
    <w:link w:val="402"/>
    <w:rPr>
      <w:rFonts w:ascii="Arial" w:hAnsi="Arial" w:eastAsia="Arial"/>
      <w:sz w:val="34"/>
    </w:rPr>
  </w:style>
  <w:style w:type="character" w:styleId="533" w:customStyle="1">
    <w:name w:val="Заголовок 3 Знак"/>
    <w:link w:val="403"/>
    <w:rPr>
      <w:rFonts w:ascii="Arial" w:hAnsi="Arial" w:eastAsia="Arial"/>
      <w:sz w:val="30"/>
      <w:szCs w:val="30"/>
    </w:rPr>
  </w:style>
  <w:style w:type="character" w:styleId="534" w:customStyle="1">
    <w:name w:val="Заголовок 4 Знак"/>
    <w:link w:val="404"/>
    <w:rPr>
      <w:rFonts w:ascii="Arial" w:hAnsi="Arial" w:eastAsia="Arial"/>
      <w:b/>
      <w:bCs/>
      <w:sz w:val="26"/>
      <w:szCs w:val="26"/>
    </w:rPr>
  </w:style>
  <w:style w:type="character" w:styleId="535" w:customStyle="1">
    <w:name w:val="Заголовок 5 Знак"/>
    <w:link w:val="405"/>
    <w:rPr>
      <w:rFonts w:ascii="Arial" w:hAnsi="Arial" w:eastAsia="Arial"/>
      <w:b/>
      <w:bCs/>
      <w:sz w:val="24"/>
      <w:szCs w:val="24"/>
    </w:rPr>
  </w:style>
  <w:style w:type="character" w:styleId="536" w:customStyle="1">
    <w:name w:val="Заголовок 6 Знак"/>
    <w:link w:val="406"/>
    <w:rPr>
      <w:rFonts w:ascii="Arial" w:hAnsi="Arial" w:eastAsia="Arial"/>
      <w:b/>
      <w:bCs/>
      <w:sz w:val="22"/>
      <w:szCs w:val="22"/>
    </w:rPr>
  </w:style>
  <w:style w:type="character" w:styleId="537" w:customStyle="1">
    <w:name w:val="Заголовок 7 Знак"/>
    <w:link w:val="407"/>
    <w:rPr>
      <w:rFonts w:ascii="Arial" w:hAnsi="Arial" w:eastAsia="Arial"/>
      <w:b/>
      <w:bCs/>
      <w:i/>
      <w:iCs/>
      <w:sz w:val="22"/>
      <w:szCs w:val="22"/>
    </w:rPr>
  </w:style>
  <w:style w:type="character" w:styleId="538" w:customStyle="1">
    <w:name w:val="Заголовок 8 Знак"/>
    <w:link w:val="408"/>
    <w:rPr>
      <w:rFonts w:ascii="Arial" w:hAnsi="Arial" w:eastAsia="Arial"/>
      <w:i/>
      <w:iCs/>
      <w:sz w:val="22"/>
      <w:szCs w:val="22"/>
    </w:rPr>
  </w:style>
  <w:style w:type="character" w:styleId="539" w:customStyle="1">
    <w:name w:val="Заголовок 9 Знак"/>
    <w:link w:val="409"/>
    <w:rPr>
      <w:rFonts w:ascii="Arial" w:hAnsi="Arial" w:eastAsia="Arial"/>
      <w:i/>
      <w:iCs/>
      <w:sz w:val="21"/>
      <w:szCs w:val="21"/>
    </w:rPr>
  </w:style>
  <w:style w:type="paragraph" w:styleId="540">
    <w:name w:val="List Paragraph"/>
    <w:rPr>
      <w:sz w:val="22"/>
      <w:lang w:val="ru-RU"/>
    </w:rPr>
    <w:pPr>
      <w:contextualSpacing w:val="true"/>
      <w:ind w:left="720"/>
    </w:pPr>
  </w:style>
  <w:style w:type="paragraph" w:styleId="541">
    <w:name w:val="No Spacing"/>
    <w:rPr>
      <w:sz w:val="22"/>
      <w:lang w:val="ru-RU"/>
    </w:rPr>
  </w:style>
  <w:style w:type="paragraph" w:styleId="542">
    <w:name w:val="Title"/>
    <w:basedOn w:val="400"/>
    <w:link w:val="543"/>
    <w:rPr>
      <w:b/>
      <w:sz w:val="26"/>
    </w:rPr>
    <w:pPr>
      <w:jc w:val="center"/>
    </w:pPr>
  </w:style>
  <w:style w:type="character" w:styleId="543" w:customStyle="1">
    <w:name w:val="Название Знак"/>
    <w:link w:val="542"/>
    <w:rPr>
      <w:sz w:val="48"/>
      <w:szCs w:val="48"/>
    </w:rPr>
  </w:style>
  <w:style w:type="paragraph" w:styleId="544">
    <w:name w:val="Subtitle"/>
    <w:link w:val="545"/>
    <w:rPr>
      <w:sz w:val="24"/>
      <w:szCs w:val="24"/>
      <w:lang w:val="ru-RU"/>
    </w:rPr>
    <w:pPr>
      <w:spacing w:after="200" w:before="200"/>
    </w:pPr>
  </w:style>
  <w:style w:type="character" w:styleId="545" w:customStyle="1">
    <w:name w:val="Подзаголовок Знак"/>
    <w:link w:val="544"/>
    <w:rPr>
      <w:sz w:val="24"/>
      <w:szCs w:val="24"/>
    </w:rPr>
  </w:style>
  <w:style w:type="paragraph" w:styleId="546">
    <w:name w:val="Quote"/>
    <w:link w:val="547"/>
    <w:rPr>
      <w:i/>
      <w:sz w:val="22"/>
      <w:lang w:val="ru-RU"/>
    </w:rPr>
    <w:pPr>
      <w:ind w:left="720" w:right="720"/>
    </w:pPr>
  </w:style>
  <w:style w:type="character" w:styleId="547" w:customStyle="1">
    <w:name w:val="Цитата 2 Знак"/>
    <w:link w:val="546"/>
    <w:rPr>
      <w:i/>
    </w:rPr>
  </w:style>
  <w:style w:type="paragraph" w:styleId="548">
    <w:name w:val="Intense Quote"/>
    <w:link w:val="708"/>
    <w:rPr>
      <w:i/>
      <w:sz w:val="22"/>
      <w:lang w:val="ru-RU"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549" w:customStyle="1">
    <w:name w:val="Intense Quote Char"/>
    <w:rPr>
      <w:i/>
    </w:rPr>
  </w:style>
  <w:style w:type="paragraph" w:styleId="550">
    <w:name w:val="Header"/>
    <w:basedOn w:val="400"/>
    <w:link w:val="551"/>
    <w:pPr>
      <w:tabs>
        <w:tab w:val="center" w:pos="4153" w:leader="none"/>
        <w:tab w:val="right" w:pos="8306" w:leader="none"/>
      </w:tabs>
    </w:pPr>
  </w:style>
  <w:style w:type="character" w:styleId="551" w:customStyle="1">
    <w:name w:val="Верхний колонтитул Знак"/>
    <w:link w:val="550"/>
  </w:style>
  <w:style w:type="paragraph" w:styleId="552">
    <w:name w:val="Footer"/>
    <w:basedOn w:val="400"/>
    <w:link w:val="555"/>
    <w:pPr>
      <w:tabs>
        <w:tab w:val="center" w:pos="4153" w:leader="none"/>
        <w:tab w:val="right" w:pos="8306" w:leader="none"/>
      </w:tabs>
    </w:pPr>
  </w:style>
  <w:style w:type="character" w:styleId="553" w:customStyle="1">
    <w:name w:val="Footer Char"/>
  </w:style>
  <w:style w:type="paragraph" w:styleId="554">
    <w:name w:val="Caption"/>
    <w:basedOn w:val="400"/>
    <w:next w:val="400"/>
    <w:rPr>
      <w:b/>
      <w:sz w:val="40"/>
    </w:rPr>
    <w:pPr>
      <w:jc w:val="center"/>
    </w:pPr>
  </w:style>
  <w:style w:type="character" w:styleId="555" w:customStyle="1">
    <w:name w:val="Нижний колонтитул Знак"/>
    <w:link w:val="552"/>
  </w:style>
  <w:style w:type="table" w:styleId="556">
    <w:name w:val="Table Grid"/>
    <w:basedOn w:val="515"/>
    <w:pPr>
      <w:widowControl w:val="off"/>
    </w:p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57" w:customStyle="1">
    <w:name w:val="Table Grid Light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58" w:customStyle="1">
    <w:name w:val="Plain Table 1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59" w:customStyle="1">
    <w:name w:val="Plain Table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60" w:customStyle="1">
    <w:name w:val="Plain Table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61" w:customStyle="1">
    <w:name w:val="Plain Table 4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62" w:customStyle="1">
    <w:name w:val="Plain Table 5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63" w:customStyle="1">
    <w:name w:val="Grid Table 1 Light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64" w:customStyle="1">
    <w:name w:val="Grid Table 1 Light - Accent 1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65" w:customStyle="1">
    <w:name w:val="Grid Table 1 Light - Accent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66" w:customStyle="1">
    <w:name w:val="Grid Table 1 Light - Accent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67" w:customStyle="1">
    <w:name w:val="Grid Table 1 Light - Accent 4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68" w:customStyle="1">
    <w:name w:val="Grid Table 1 Light - Accent 5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69" w:customStyle="1">
    <w:name w:val="Grid Table 1 Light - Accent 6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70" w:customStyle="1">
    <w:name w:val="Grid Table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71" w:customStyle="1">
    <w:name w:val="Grid Table 2 - Accent 1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72" w:customStyle="1">
    <w:name w:val="Grid Table 2 - Accent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73" w:customStyle="1">
    <w:name w:val="Grid Table 2 - Accent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74" w:customStyle="1">
    <w:name w:val="Grid Table 2 - Accent 4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75" w:customStyle="1">
    <w:name w:val="Grid Table 2 - Accent 5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76" w:customStyle="1">
    <w:name w:val="Grid Table 2 - Accent 6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77" w:customStyle="1">
    <w:name w:val="Grid Table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78" w:customStyle="1">
    <w:name w:val="Grid Table 3 - Accent 1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79" w:customStyle="1">
    <w:name w:val="Grid Table 3 - Accent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80" w:customStyle="1">
    <w:name w:val="Grid Table 3 - Accent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81" w:customStyle="1">
    <w:name w:val="Grid Table 3 - Accent 4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82" w:customStyle="1">
    <w:name w:val="Grid Table 3 - Accent 5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83" w:customStyle="1">
    <w:name w:val="Grid Table 3 - Accent 6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84" w:customStyle="1">
    <w:name w:val="Grid Table 4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85" w:customStyle="1">
    <w:name w:val="Grid Table 4 - Accent 1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86" w:customStyle="1">
    <w:name w:val="Grid Table 4 - Accent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87" w:customStyle="1">
    <w:name w:val="Grid Table 4 - Accent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88" w:customStyle="1">
    <w:name w:val="Grid Table 4 - Accent 4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89" w:customStyle="1">
    <w:name w:val="Grid Table 4 - Accent 5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90" w:customStyle="1">
    <w:name w:val="Grid Table 4 - Accent 6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91" w:customStyle="1">
    <w:name w:val="Grid Table 5 Dark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92" w:customStyle="1">
    <w:name w:val="Grid Table 5 Dark- Accent 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93" w:customStyle="1">
    <w:name w:val="Grid Table 5 Dark - Accent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94" w:customStyle="1">
    <w:name w:val="Grid Table 5 Dark - Accent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95" w:customStyle="1">
    <w:name w:val="Grid Table 5 Dark- Accent 4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96" w:customStyle="1">
    <w:name w:val="Grid Table 5 Dark - Accent 5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97" w:customStyle="1">
    <w:name w:val="Grid Table 5 Dark - Accent 6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98" w:customStyle="1">
    <w:name w:val="Grid Table 6 Colorful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599" w:customStyle="1">
    <w:name w:val="Grid Table 6 Colorful - Accent 1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00" w:customStyle="1">
    <w:name w:val="Grid Table 6 Colorful - Accent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01" w:customStyle="1">
    <w:name w:val="Grid Table 6 Colorful - Accent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02" w:customStyle="1">
    <w:name w:val="Grid Table 6 Colorful - Accent 4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03" w:customStyle="1">
    <w:name w:val="Grid Table 6 Colorful - Accent 5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04" w:customStyle="1">
    <w:name w:val="Grid Table 6 Colorful - Accent 6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05" w:customStyle="1">
    <w:name w:val="Grid Table 7 Colorful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06" w:customStyle="1">
    <w:name w:val="Grid Table 7 Colorful - Accent 1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07" w:customStyle="1">
    <w:name w:val="Grid Table 7 Colorful - Accent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08" w:customStyle="1">
    <w:name w:val="Grid Table 7 Colorful - Accent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09" w:customStyle="1">
    <w:name w:val="Grid Table 7 Colorful - Accent 4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10" w:customStyle="1">
    <w:name w:val="Grid Table 7 Colorful - Accent 5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11" w:customStyle="1">
    <w:name w:val="Grid Table 7 Colorful - Accent 6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12" w:customStyle="1">
    <w:name w:val="List Table 1 Light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13" w:customStyle="1">
    <w:name w:val="List Table 1 Light - Accent 1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14" w:customStyle="1">
    <w:name w:val="List Table 1 Light - Accent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15" w:customStyle="1">
    <w:name w:val="List Table 1 Light - Accent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16" w:customStyle="1">
    <w:name w:val="List Table 1 Light - Accent 4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17" w:customStyle="1">
    <w:name w:val="List Table 1 Light - Accent 5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18" w:customStyle="1">
    <w:name w:val="List Table 1 Light - Accent 6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19" w:customStyle="1">
    <w:name w:val="List Table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20" w:customStyle="1">
    <w:name w:val="List Table 2 - Accent 1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21" w:customStyle="1">
    <w:name w:val="List Table 2 - Accent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22" w:customStyle="1">
    <w:name w:val="List Table 2 - Accent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23" w:customStyle="1">
    <w:name w:val="List Table 2 - Accent 4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24" w:customStyle="1">
    <w:name w:val="List Table 2 - Accent 5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25" w:customStyle="1">
    <w:name w:val="List Table 2 - Accent 6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26" w:customStyle="1">
    <w:name w:val="List Table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27" w:customStyle="1">
    <w:name w:val="List Table 3 - Accent 1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28" w:customStyle="1">
    <w:name w:val="List Table 3 - Accent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29" w:customStyle="1">
    <w:name w:val="List Table 3 - Accent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30" w:customStyle="1">
    <w:name w:val="List Table 3 - Accent 4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31" w:customStyle="1">
    <w:name w:val="List Table 3 - Accent 5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32" w:customStyle="1">
    <w:name w:val="List Table 3 - Accent 6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33" w:customStyle="1">
    <w:name w:val="List Table 4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34" w:customStyle="1">
    <w:name w:val="List Table 4 - Accent 1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35" w:customStyle="1">
    <w:name w:val="List Table 4 - Accent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36" w:customStyle="1">
    <w:name w:val="List Table 4 - Accent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37" w:customStyle="1">
    <w:name w:val="List Table 4 - Accent 4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38" w:customStyle="1">
    <w:name w:val="List Table 4 - Accent 5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39" w:customStyle="1">
    <w:name w:val="List Table 4 - Accent 6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40" w:customStyle="1">
    <w:name w:val="List Table 5 Dark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41" w:customStyle="1">
    <w:name w:val="List Table 5 Dark - Accent 1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42" w:customStyle="1">
    <w:name w:val="List Table 5 Dark - Accent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43" w:customStyle="1">
    <w:name w:val="List Table 5 Dark - Accent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44" w:customStyle="1">
    <w:name w:val="List Table 5 Dark - Accent 4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45" w:customStyle="1">
    <w:name w:val="List Table 5 Dark - Accent 5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46" w:customStyle="1">
    <w:name w:val="List Table 5 Dark - Accent 6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47" w:customStyle="1">
    <w:name w:val="List Table 6 Colorful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48" w:customStyle="1">
    <w:name w:val="List Table 6 Colorful - Accent 1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49" w:customStyle="1">
    <w:name w:val="List Table 6 Colorful - Accent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50" w:customStyle="1">
    <w:name w:val="List Table 6 Colorful - Accent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51" w:customStyle="1">
    <w:name w:val="List Table 6 Colorful - Accent 4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52" w:customStyle="1">
    <w:name w:val="List Table 6 Colorful - Accent 5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53" w:customStyle="1">
    <w:name w:val="List Table 6 Colorful - Accent 6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54" w:customStyle="1">
    <w:name w:val="List Table 7 Colorful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55" w:customStyle="1">
    <w:name w:val="List Table 7 Colorful - Accent 1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56" w:customStyle="1">
    <w:name w:val="List Table 7 Colorful - Accent 2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57" w:customStyle="1">
    <w:name w:val="List Table 7 Colorful - Accent 3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58" w:customStyle="1">
    <w:name w:val="List Table 7 Colorful - Accent 4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59" w:customStyle="1">
    <w:name w:val="List Table 7 Colorful - Accent 5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60" w:customStyle="1">
    <w:name w:val="List Table 7 Colorful - Accent 6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61" w:customStyle="1">
    <w:name w:val="Lined - Accent"/>
    <w:rPr>
      <w:color w:val="404040"/>
      <w:lang w:bidi="ar-SA"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62" w:customStyle="1">
    <w:name w:val="Lined - Accent 1"/>
    <w:rPr>
      <w:color w:val="404040"/>
      <w:lang w:bidi="ar-SA"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63" w:customStyle="1">
    <w:name w:val="Lined - Accent 2"/>
    <w:rPr>
      <w:color w:val="404040"/>
      <w:lang w:bidi="ar-SA"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64" w:customStyle="1">
    <w:name w:val="Lined - Accent 3"/>
    <w:rPr>
      <w:color w:val="404040"/>
      <w:lang w:bidi="ar-SA"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65" w:customStyle="1">
    <w:name w:val="Lined - Accent 4"/>
    <w:rPr>
      <w:color w:val="404040"/>
      <w:lang w:bidi="ar-SA"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66" w:customStyle="1">
    <w:name w:val="Lined - Accent 5"/>
    <w:rPr>
      <w:color w:val="404040"/>
      <w:lang w:bidi="ar-SA"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67" w:customStyle="1">
    <w:name w:val="Lined - Accent 6"/>
    <w:rPr>
      <w:color w:val="404040"/>
      <w:lang w:bidi="ar-SA"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68" w:customStyle="1">
    <w:name w:val="Bordered &amp; Lined - Accent"/>
    <w:rPr>
      <w:color w:val="404040"/>
      <w:lang w:bidi="ar-SA"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69" w:customStyle="1">
    <w:name w:val="Bordered &amp; Lined - Accent 1"/>
    <w:rPr>
      <w:color w:val="404040"/>
      <w:lang w:bidi="ar-SA"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70" w:customStyle="1">
    <w:name w:val="Bordered &amp; Lined - Accent 2"/>
    <w:rPr>
      <w:color w:val="404040"/>
      <w:lang w:bidi="ar-SA"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71" w:customStyle="1">
    <w:name w:val="Bordered &amp; Lined - Accent 3"/>
    <w:rPr>
      <w:color w:val="404040"/>
      <w:lang w:bidi="ar-SA"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72" w:customStyle="1">
    <w:name w:val="Bordered &amp; Lined - Accent 4"/>
    <w:rPr>
      <w:color w:val="404040"/>
      <w:lang w:bidi="ar-SA"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73" w:customStyle="1">
    <w:name w:val="Bordered &amp; Lined - Accent 5"/>
    <w:rPr>
      <w:color w:val="404040"/>
      <w:lang w:bidi="ar-SA"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74" w:customStyle="1">
    <w:name w:val="Bordered &amp; Lined - Accent 6"/>
    <w:rPr>
      <w:color w:val="404040"/>
      <w:lang w:bidi="ar-SA"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75" w:customStyle="1">
    <w:name w:val="Bordered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76" w:customStyle="1">
    <w:name w:val="Bordered - Accent 1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77" w:customStyle="1">
    <w:name w:val="Bordered - Accent 2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78" w:customStyle="1">
    <w:name w:val="Bordered - Accent 3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79" w:customStyle="1">
    <w:name w:val="Bordered - Accent 4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80" w:customStyle="1">
    <w:name w:val="Bordered - Accent 5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81" w:customStyle="1">
    <w:name w:val="Bordered - Accent 6"/>
    <w:rPr>
      <w:sz w:val="22"/>
      <w:lang w:val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682">
    <w:name w:val="Hyperlink"/>
    <w:rPr>
      <w:color w:val="0000FF"/>
      <w:u w:val="single"/>
    </w:rPr>
  </w:style>
  <w:style w:type="paragraph" w:styleId="683">
    <w:name w:val="footnote text"/>
    <w:link w:val="684"/>
    <w:semiHidden/>
    <w:rPr>
      <w:sz w:val="18"/>
      <w:lang w:val="ru-RU"/>
    </w:rPr>
    <w:pPr>
      <w:spacing w:after="40"/>
    </w:pPr>
  </w:style>
  <w:style w:type="character" w:styleId="684" w:customStyle="1">
    <w:name w:val="Текст сноски Знак"/>
    <w:link w:val="683"/>
    <w:rPr>
      <w:sz w:val="18"/>
    </w:rPr>
  </w:style>
  <w:style w:type="character" w:styleId="685">
    <w:name w:val="footnote reference"/>
    <w:rPr>
      <w:vertAlign w:val="superscript"/>
    </w:rPr>
  </w:style>
  <w:style w:type="paragraph" w:styleId="686">
    <w:name w:val="toc 1"/>
    <w:rPr>
      <w:sz w:val="22"/>
      <w:lang w:val="ru-RU"/>
    </w:rPr>
    <w:pPr>
      <w:spacing w:after="57"/>
    </w:pPr>
  </w:style>
  <w:style w:type="paragraph" w:styleId="687">
    <w:name w:val="toc 2"/>
    <w:rPr>
      <w:sz w:val="22"/>
      <w:lang w:val="ru-RU"/>
    </w:rPr>
    <w:pPr>
      <w:ind w:left="283"/>
      <w:spacing w:after="57"/>
    </w:pPr>
  </w:style>
  <w:style w:type="paragraph" w:styleId="688">
    <w:name w:val="toc 3"/>
    <w:rPr>
      <w:sz w:val="22"/>
      <w:lang w:val="ru-RU"/>
    </w:rPr>
    <w:pPr>
      <w:ind w:left="567"/>
      <w:spacing w:after="57"/>
    </w:pPr>
  </w:style>
  <w:style w:type="paragraph" w:styleId="689">
    <w:name w:val="toc 4"/>
    <w:rPr>
      <w:sz w:val="22"/>
      <w:lang w:val="ru-RU"/>
    </w:rPr>
    <w:pPr>
      <w:ind w:left="850"/>
      <w:spacing w:after="57"/>
    </w:pPr>
  </w:style>
  <w:style w:type="paragraph" w:styleId="690">
    <w:name w:val="toc 5"/>
    <w:rPr>
      <w:sz w:val="22"/>
      <w:lang w:val="ru-RU"/>
    </w:rPr>
    <w:pPr>
      <w:ind w:left="1134"/>
      <w:spacing w:after="57"/>
    </w:pPr>
  </w:style>
  <w:style w:type="paragraph" w:styleId="691">
    <w:name w:val="toc 6"/>
    <w:rPr>
      <w:sz w:val="22"/>
      <w:lang w:val="ru-RU"/>
    </w:rPr>
    <w:pPr>
      <w:ind w:left="1417"/>
      <w:spacing w:after="57"/>
    </w:pPr>
  </w:style>
  <w:style w:type="paragraph" w:styleId="692">
    <w:name w:val="toc 7"/>
    <w:rPr>
      <w:sz w:val="22"/>
      <w:lang w:val="ru-RU"/>
    </w:rPr>
    <w:pPr>
      <w:ind w:left="1701"/>
      <w:spacing w:after="57"/>
    </w:pPr>
  </w:style>
  <w:style w:type="paragraph" w:styleId="693">
    <w:name w:val="toc 8"/>
    <w:rPr>
      <w:sz w:val="22"/>
      <w:lang w:val="ru-RU"/>
    </w:rPr>
    <w:pPr>
      <w:ind w:left="1984"/>
      <w:spacing w:after="57"/>
    </w:pPr>
  </w:style>
  <w:style w:type="paragraph" w:styleId="694">
    <w:name w:val="toc 9"/>
    <w:rPr>
      <w:sz w:val="22"/>
      <w:lang w:val="ru-RU"/>
    </w:rPr>
    <w:pPr>
      <w:ind w:left="2268"/>
      <w:spacing w:after="57"/>
    </w:pPr>
  </w:style>
  <w:style w:type="paragraph" w:styleId="695">
    <w:name w:val="TOC Heading"/>
    <w:rPr>
      <w:sz w:val="22"/>
      <w:lang w:val="ru-RU"/>
    </w:rPr>
  </w:style>
  <w:style w:type="character" w:styleId="696" w:customStyle="1">
    <w:name w:val="Основной шрифт абзаца1"/>
    <w:semiHidden/>
    <w:rPr>
      <w:sz w:val="20"/>
    </w:rPr>
  </w:style>
  <w:style w:type="character" w:styleId="697">
    <w:name w:val="page number"/>
    <w:basedOn w:val="410"/>
  </w:style>
  <w:style w:type="paragraph" w:styleId="698" w:customStyle="1">
    <w:name w:val="ConsPlusCell"/>
    <w:rPr>
      <w:rFonts w:ascii="Arial" w:hAnsi="Arial"/>
      <w:sz w:val="22"/>
      <w:lang w:val="ru-RU" w:bidi="ar-SA" w:eastAsia="ru-RU"/>
    </w:rPr>
    <w:pPr>
      <w:widowControl w:val="off"/>
    </w:pPr>
  </w:style>
  <w:style w:type="paragraph" w:styleId="699" w:customStyle="1">
    <w:name w:val="ConsPlusNormal"/>
    <w:rPr>
      <w:rFonts w:ascii="Arial" w:hAnsi="Arial"/>
      <w:sz w:val="22"/>
      <w:lang w:val="ru-RU" w:bidi="ar-SA" w:eastAsia="ru-RU"/>
    </w:rPr>
    <w:pPr>
      <w:ind w:firstLine="720"/>
    </w:pPr>
  </w:style>
  <w:style w:type="paragraph" w:styleId="700" w:customStyle="1">
    <w:name w:val="ConsPlusNonformat"/>
    <w:rPr>
      <w:rFonts w:ascii="Courier New" w:hAnsi="Courier New"/>
      <w:sz w:val="22"/>
      <w:lang w:val="ru-RU" w:bidi="ar-SA" w:eastAsia="ru-RU"/>
    </w:rPr>
  </w:style>
  <w:style w:type="paragraph" w:styleId="701">
    <w:name w:val="Balloon Text"/>
    <w:basedOn w:val="400"/>
    <w:link w:val="702"/>
    <w:rPr>
      <w:rFonts w:ascii="Tahoma" w:hAnsi="Tahoma"/>
      <w:sz w:val="16"/>
      <w:szCs w:val="16"/>
    </w:rPr>
  </w:style>
  <w:style w:type="character" w:styleId="702" w:customStyle="1">
    <w:name w:val="Текст выноски Знак"/>
    <w:link w:val="701"/>
    <w:rPr>
      <w:rFonts w:ascii="Tahoma" w:hAnsi="Tahoma"/>
      <w:sz w:val="16"/>
      <w:szCs w:val="16"/>
    </w:rPr>
  </w:style>
  <w:style w:type="paragraph" w:styleId="703" w:customStyle="1">
    <w:name w:val="Char"/>
    <w:basedOn w:val="400"/>
    <w:rPr>
      <w:rFonts w:ascii="Arial" w:hAnsi="Arial"/>
      <w:lang w:val="fr-FR"/>
    </w:rPr>
    <w:pPr>
      <w:spacing w:lineRule="exact" w:line="240" w:after="160"/>
    </w:pPr>
  </w:style>
  <w:style w:type="table" w:styleId="704" w:customStyle="1">
    <w:name w:val="Сетка таблицы1"/>
    <w:basedOn w:val="515"/>
    <w:next w:val="556"/>
    <w:rPr>
      <w:rFonts w:ascii="Calibri" w:hAnsi="Calibri" w:eastAsia="Calibri"/>
      <w:sz w:val="22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05" w:customStyle="1">
    <w:name w:val="Сетка таблицы11"/>
    <w:basedOn w:val="515"/>
    <w:rPr>
      <w:rFonts w:ascii="Calibri" w:hAnsi="Calibri"/>
      <w:sz w:val="22"/>
    </w:rPr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706" w:customStyle="1">
    <w:name w:val="Цветовое выделение для Текст"/>
  </w:style>
  <w:style w:type="paragraph" w:styleId="707" w:customStyle="1">
    <w:name w:val="Стиль1"/>
    <w:basedOn w:val="400"/>
    <w:rPr>
      <w:sz w:val="28"/>
      <w:szCs w:val="28"/>
    </w:rPr>
    <w:pPr>
      <w:ind w:firstLine="567"/>
      <w:jc w:val="both"/>
    </w:pPr>
  </w:style>
  <w:style w:type="character" w:styleId="708" w:customStyle="1">
    <w:name w:val="Выделенная цитата Знак"/>
    <w:link w:val="548"/>
    <w:rPr>
      <w:i/>
      <w:sz w:val="22"/>
      <w:szCs w:val="22"/>
      <w:shd w:val="clear" w:color="auto" w:fill="F2F2F2"/>
      <w:lang w:bidi="en-US" w:eastAsia="en-US"/>
    </w:rPr>
  </w:style>
  <w:style w:type="paragraph" w:styleId="709" w:customStyle="1">
    <w:name w:val="Стиль2"/>
    <w:basedOn w:val="707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image" Target="media/image1.png"/><Relationship Id="rId9" Type="http://schemas.openxmlformats.org/officeDocument/2006/relationships/hyperlink" Target="https://login.consultant.ru/link/?req=doc&amp;base=RLAW021&amp;n=182932" TargetMode="External"/><Relationship Id="rId10" Type="http://schemas.openxmlformats.org/officeDocument/2006/relationships/hyperlink" Target="https://login.consultant.ru/link/?req=doc&amp;base=LAW&amp;n=508984&amp;dst=100750" TargetMode="External"/><Relationship Id="rId11" Type="http://schemas.openxmlformats.org/officeDocument/2006/relationships/hyperlink" Target="https://login.consultant.ru/link/?req=doc&amp;base=LAW&amp;n=508984&amp;dst=100750" TargetMode="External"/><Relationship Id="rId12" Type="http://schemas.openxmlformats.org/officeDocument/2006/relationships/hyperlink" Target="https://login.consultant.ru/link/?req=doc&amp;base=LAW&amp;n=508984&amp;dst=100864" TargetMode="External"/><Relationship Id="rId13" Type="http://schemas.openxmlformats.org/officeDocument/2006/relationships/hyperlink" Target="https://login.consultant.ru/link/?req=doc&amp;base=RLAW021&amp;n=183315&amp;dst=100280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16</cp:revision>
  <dcterms:created xsi:type="dcterms:W3CDTF">2026-01-21T05:24:00Z</dcterms:created>
  <dcterms:modified xsi:type="dcterms:W3CDTF">2026-02-09T13:09:13Z</dcterms:modified>
</cp:coreProperties>
</file>