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E0A" w:rsidRDefault="00671875">
      <w:pPr>
        <w:ind w:firstLine="567"/>
        <w:jc w:val="center"/>
        <w:rPr>
          <w:rFonts w:ascii="Arial" w:hAnsi="Arial" w:cs="Arial"/>
          <w:b/>
          <w:bCs/>
          <w:sz w:val="28"/>
          <w:szCs w:val="28"/>
          <w:lang w:eastAsia="zh-CN" w:bidi="ar-SA"/>
        </w:rPr>
      </w:pPr>
      <w:r>
        <w:rPr>
          <w:noProof/>
          <w:lang w:eastAsia="ru-RU" w:bidi="ar-SA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17253108">
                <wp:simplePos x="0" y="0"/>
                <wp:positionH relativeFrom="page">
                  <wp:posOffset>5825490</wp:posOffset>
                </wp:positionH>
                <wp:positionV relativeFrom="page">
                  <wp:posOffset>457200</wp:posOffset>
                </wp:positionV>
                <wp:extent cx="865505" cy="281305"/>
                <wp:effectExtent l="0" t="0" r="0" b="0"/>
                <wp:wrapNone/>
                <wp:docPr id="1" name="Изображение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4720" cy="280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671875" w:rsidRDefault="00671875">
                            <w:pPr>
                              <w:pStyle w:val="aff2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u w:val="single"/>
                              </w:rPr>
                              <w:t>Проект</w:t>
                            </w:r>
                          </w:p>
                          <w:p w:rsidR="00671875" w:rsidRDefault="00671875">
                            <w:pPr>
                              <w:pStyle w:val="aff2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38880" tIns="38880" rIns="38880" bIns="3888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Изображение1" stroked="f" style="position:absolute;margin-left:458.7pt;margin-top:36pt;width:68.05pt;height:22.05pt;mso-position-horizontal-relative:page;mso-position-vertical-relative:page" wp14:anchorId="17253108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3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/>
                          <w:color w:val="000000"/>
                          <w:u w:val="single"/>
                        </w:rPr>
                        <w:t>Проект</w:t>
                      </w:r>
                    </w:p>
                    <w:p>
                      <w:pPr>
                        <w:pStyle w:val="Style30"/>
                        <w:rPr>
                          <w:color w:val="000000"/>
                        </w:rPr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bCs/>
          <w:sz w:val="28"/>
          <w:szCs w:val="28"/>
          <w:lang w:eastAsia="ru-RU" w:bidi="ar-SA"/>
        </w:rPr>
        <w:t>О РЕГУЛИРОВАНИИ ОТДЕЛЬНЫХ ВОПРОСОВ РАЗМЕЩЕНИЯ НЕСТАЦИОНАРНЫХ ТОРГОВЫХ ОБЪЕКТОВ НА ТЕРРИТОРИИ ПЕНЗЕНСКОЙ ОБЛАСТИ</w:t>
      </w:r>
    </w:p>
    <w:p w:rsidR="00124E0A" w:rsidRDefault="00124E0A">
      <w:pPr>
        <w:jc w:val="center"/>
        <w:rPr>
          <w:rFonts w:ascii="Arial" w:hAnsi="Arial"/>
          <w:b/>
          <w:bCs/>
          <w:sz w:val="28"/>
          <w:szCs w:val="28"/>
        </w:rPr>
      </w:pPr>
    </w:p>
    <w:p w:rsidR="00124E0A" w:rsidRDefault="00671875">
      <w:pPr>
        <w:jc w:val="center"/>
        <w:rPr>
          <w:sz w:val="24"/>
          <w:szCs w:val="24"/>
        </w:rPr>
      </w:pPr>
      <w:r>
        <w:rPr>
          <w:sz w:val="24"/>
          <w:szCs w:val="24"/>
        </w:rPr>
        <w:t>Внесен Губернатором Пензенской области О.В. Мельниченко</w:t>
      </w:r>
    </w:p>
    <w:p w:rsidR="00124E0A" w:rsidRDefault="00124E0A">
      <w:pPr>
        <w:jc w:val="center"/>
        <w:rPr>
          <w:sz w:val="24"/>
          <w:szCs w:val="24"/>
        </w:rPr>
      </w:pPr>
    </w:p>
    <w:p w:rsidR="00124E0A" w:rsidRDefault="00671875">
      <w:pPr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Статья 1. Предмет правового регулирования 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gramStart"/>
      <w:r>
        <w:rPr>
          <w:sz w:val="24"/>
          <w:szCs w:val="24"/>
        </w:rPr>
        <w:t>Настоящий Закон в соответствии с Земельным кодексом Российской Федерации, Федеральным законом от 28 декабря 2009 года № 381-ФЗ «Об основах государственного регулирования торговой деятельности в Российской Федерации»,</w:t>
      </w:r>
      <w:r>
        <w:t xml:space="preserve"> </w:t>
      </w:r>
      <w:r>
        <w:rPr>
          <w:sz w:val="24"/>
          <w:szCs w:val="24"/>
        </w:rPr>
        <w:t xml:space="preserve">Федеральным законом от 24 июля 2007 года № 209-ФЗ «О развитии малого и среднего предпринимательства в Российской Федерации», Федеральным законом от 26 июля 2006 года № 135-ФЗ «О защите конкуренции» </w:t>
      </w:r>
      <w:r>
        <w:rPr>
          <w:color w:val="C9211E"/>
          <w:sz w:val="24"/>
          <w:szCs w:val="24"/>
        </w:rPr>
        <w:t>регулирует на территории Пензенской области</w:t>
      </w:r>
      <w:r>
        <w:rPr>
          <w:sz w:val="24"/>
          <w:szCs w:val="24"/>
        </w:rPr>
        <w:t xml:space="preserve"> отдельные</w:t>
      </w:r>
      <w:proofErr w:type="gramEnd"/>
      <w:r>
        <w:rPr>
          <w:sz w:val="24"/>
          <w:szCs w:val="24"/>
        </w:rPr>
        <w:t xml:space="preserve"> вопросы, размещения нестационарных торговых объектов на земельных участках, находящихся в муниципальной собственности земельных участках, государственная собственность на которые не разграничена (далее </w:t>
      </w:r>
      <w:proofErr w:type="gramStart"/>
      <w:r>
        <w:rPr>
          <w:sz w:val="24"/>
          <w:szCs w:val="24"/>
        </w:rPr>
        <w:t>-з</w:t>
      </w:r>
      <w:proofErr w:type="gramEnd"/>
      <w:r>
        <w:rPr>
          <w:sz w:val="24"/>
          <w:szCs w:val="24"/>
        </w:rPr>
        <w:t>емельные участки), без предоставления земельных участков и установления сервитута, публичного сервитута.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color w:val="C9211E"/>
          <w:sz w:val="24"/>
          <w:szCs w:val="24"/>
        </w:rPr>
        <w:t>Положения</w:t>
      </w:r>
      <w:r>
        <w:rPr>
          <w:sz w:val="24"/>
          <w:szCs w:val="24"/>
        </w:rPr>
        <w:t xml:space="preserve"> настоящего Закона не распространяется на</w:t>
      </w:r>
      <w:r>
        <w:rPr>
          <w:color w:val="C9211E"/>
          <w:sz w:val="24"/>
          <w:szCs w:val="24"/>
        </w:rPr>
        <w:t xml:space="preserve"> право</w:t>
      </w:r>
      <w:r>
        <w:rPr>
          <w:sz w:val="24"/>
          <w:szCs w:val="24"/>
        </w:rPr>
        <w:t>отношения, связанные с размещением нестационарных торговых объектов: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>
        <w:rPr>
          <w:color w:val="C9211E"/>
          <w:sz w:val="24"/>
          <w:szCs w:val="24"/>
        </w:rPr>
        <w:t>территории</w:t>
      </w:r>
      <w:r>
        <w:rPr>
          <w:sz w:val="24"/>
          <w:szCs w:val="24"/>
        </w:rPr>
        <w:t xml:space="preserve"> розничных рынк</w:t>
      </w:r>
      <w:r>
        <w:rPr>
          <w:color w:val="C9211E"/>
          <w:sz w:val="24"/>
          <w:szCs w:val="24"/>
        </w:rPr>
        <w:t>ов и ярмарок</w:t>
      </w:r>
      <w:r>
        <w:rPr>
          <w:sz w:val="24"/>
          <w:szCs w:val="24"/>
        </w:rPr>
        <w:t>;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проведении праздничных, общественно-политических, спортивно-массовых и </w:t>
      </w:r>
      <w:r>
        <w:rPr>
          <w:color w:val="C9211E"/>
          <w:sz w:val="24"/>
          <w:szCs w:val="24"/>
        </w:rPr>
        <w:t>иных</w:t>
      </w:r>
      <w:r>
        <w:rPr>
          <w:sz w:val="24"/>
          <w:szCs w:val="24"/>
        </w:rPr>
        <w:t xml:space="preserve"> мероприятий, имеющих краткосрочный характер (</w:t>
      </w:r>
      <w:r>
        <w:rPr>
          <w:color w:val="C9211E"/>
          <w:sz w:val="24"/>
          <w:szCs w:val="24"/>
        </w:rPr>
        <w:t>до десяти календарных</w:t>
      </w:r>
      <w:r>
        <w:rPr>
          <w:sz w:val="24"/>
          <w:szCs w:val="24"/>
        </w:rPr>
        <w:t xml:space="preserve"> дней);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 осуществлении разносной и развозной торговли;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зданиях, строениях и сооружениях;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 земельных участках, находящихся в частной собственности.</w:t>
      </w:r>
    </w:p>
    <w:p w:rsidR="00124E0A" w:rsidRDefault="00124E0A">
      <w:pPr>
        <w:ind w:firstLine="567"/>
        <w:jc w:val="both"/>
        <w:rPr>
          <w:sz w:val="24"/>
          <w:szCs w:val="24"/>
        </w:rPr>
      </w:pPr>
    </w:p>
    <w:p w:rsidR="00124E0A" w:rsidRDefault="00671875">
      <w:pPr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Статья 2.</w:t>
      </w:r>
      <w:r>
        <w:t xml:space="preserve"> </w:t>
      </w:r>
      <w:r>
        <w:rPr>
          <w:b/>
          <w:sz w:val="24"/>
          <w:szCs w:val="24"/>
        </w:rPr>
        <w:t>Понятия, используемые в настоящем Законе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gramStart"/>
      <w:r>
        <w:rPr>
          <w:sz w:val="24"/>
          <w:szCs w:val="24"/>
        </w:rPr>
        <w:t xml:space="preserve">Компенсационное место для размещения нестационарного торгового объекта (далее - компенсационное место) - альтернативное место размещения нестационарного торгового объекта, предоставляемое в случае досрочного расторжения договора аренды земельного участка в целях размещения нестационарного торгового объекта, заключенного до вступления в силу настоящего Закона (далее - договор аренды), или договора на размещение нестационарного торгового объекта (далее - договор на размещение) </w:t>
      </w:r>
      <w:r>
        <w:rPr>
          <w:color w:val="1F497D" w:themeColor="text2"/>
          <w:sz w:val="24"/>
          <w:szCs w:val="24"/>
        </w:rPr>
        <w:t>из мест, предусмотренных схемами размещения нестационарных торговых объектов</w:t>
      </w:r>
      <w:proofErr w:type="gramEnd"/>
      <w:r>
        <w:rPr>
          <w:color w:val="1F497D" w:themeColor="text2"/>
          <w:sz w:val="24"/>
          <w:szCs w:val="24"/>
        </w:rPr>
        <w:t xml:space="preserve">, утверждаемых органами местного самоуправления, определенными </w:t>
      </w:r>
      <w:r>
        <w:rPr>
          <w:color w:val="C9211E"/>
          <w:sz w:val="24"/>
          <w:szCs w:val="24"/>
        </w:rPr>
        <w:t xml:space="preserve">в соответствии с </w:t>
      </w:r>
      <w:r>
        <w:rPr>
          <w:color w:val="1F497D" w:themeColor="text2"/>
          <w:sz w:val="24"/>
          <w:szCs w:val="24"/>
        </w:rPr>
        <w:t xml:space="preserve">уставами муниципальных образований </w:t>
      </w:r>
      <w:r>
        <w:rPr>
          <w:color w:val="C9211E"/>
          <w:sz w:val="24"/>
          <w:szCs w:val="24"/>
        </w:rPr>
        <w:t xml:space="preserve">в порядке, установленном уполномоченным органом исполнительной власти Пензенской области </w:t>
      </w:r>
      <w:r>
        <w:rPr>
          <w:color w:val="1F497D" w:themeColor="text2"/>
          <w:sz w:val="24"/>
          <w:szCs w:val="24"/>
        </w:rPr>
        <w:t>(далее - схема размещения)</w:t>
      </w:r>
      <w:r>
        <w:rPr>
          <w:sz w:val="24"/>
          <w:szCs w:val="24"/>
        </w:rPr>
        <w:t>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2. Понятия, используемые в настоящем Законе, применяются в значениях, определенных законодательством Российской Федерации.</w:t>
      </w:r>
    </w:p>
    <w:p w:rsidR="00124E0A" w:rsidRDefault="00124E0A">
      <w:pPr>
        <w:ind w:firstLine="567"/>
        <w:jc w:val="both"/>
        <w:rPr>
          <w:sz w:val="24"/>
          <w:szCs w:val="24"/>
        </w:rPr>
      </w:pPr>
    </w:p>
    <w:p w:rsidR="00124E0A" w:rsidRDefault="00671875">
      <w:pPr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Статья 3. Особенности размещения нестационарных торговых объектов</w:t>
      </w:r>
      <w:r>
        <w:t xml:space="preserve"> 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Размещение нестационарных торговых объектов на земельных участках, </w:t>
      </w:r>
      <w:r>
        <w:rPr>
          <w:color w:val="C9211E"/>
          <w:sz w:val="24"/>
          <w:szCs w:val="24"/>
        </w:rPr>
        <w:t>находящихся в муниципальной собственности, а также на земельных участках</w:t>
      </w:r>
      <w:r>
        <w:rPr>
          <w:sz w:val="24"/>
          <w:szCs w:val="24"/>
        </w:rPr>
        <w:t xml:space="preserve"> </w:t>
      </w:r>
      <w:r>
        <w:rPr>
          <w:color w:val="C9211E"/>
          <w:sz w:val="24"/>
          <w:szCs w:val="24"/>
        </w:rPr>
        <w:t xml:space="preserve">государственной </w:t>
      </w:r>
      <w:proofErr w:type="gramStart"/>
      <w:r>
        <w:rPr>
          <w:color w:val="C9211E"/>
          <w:sz w:val="24"/>
          <w:szCs w:val="24"/>
        </w:rPr>
        <w:t>собственности</w:t>
      </w:r>
      <w:proofErr w:type="gramEnd"/>
      <w:r>
        <w:rPr>
          <w:color w:val="C9211E"/>
          <w:sz w:val="24"/>
          <w:szCs w:val="24"/>
        </w:rPr>
        <w:t xml:space="preserve"> на которые не разграничена</w:t>
      </w:r>
      <w:r>
        <w:rPr>
          <w:sz w:val="24"/>
          <w:szCs w:val="24"/>
        </w:rPr>
        <w:t xml:space="preserve"> без предоставления земельных участков и установления сервитутов, публичного сервитута осуществляется </w:t>
      </w:r>
      <w:r>
        <w:rPr>
          <w:color w:val="C9211E"/>
          <w:sz w:val="24"/>
          <w:szCs w:val="24"/>
        </w:rPr>
        <w:t>в соответствии со</w:t>
      </w:r>
      <w:r>
        <w:rPr>
          <w:sz w:val="24"/>
          <w:szCs w:val="24"/>
        </w:rPr>
        <w:t xml:space="preserve"> </w:t>
      </w:r>
      <w:r>
        <w:rPr>
          <w:color w:val="1F497D" w:themeColor="text2"/>
          <w:sz w:val="24"/>
          <w:szCs w:val="24"/>
        </w:rPr>
        <w:t xml:space="preserve">схемой размещения, </w:t>
      </w:r>
      <w:r>
        <w:rPr>
          <w:sz w:val="24"/>
          <w:szCs w:val="24"/>
        </w:rPr>
        <w:t>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gramStart"/>
      <w:r>
        <w:rPr>
          <w:sz w:val="24"/>
          <w:szCs w:val="24"/>
        </w:rPr>
        <w:t xml:space="preserve">Основанием для размещения нестационарного торгового объекта является </w:t>
      </w:r>
      <w:r w:rsidRPr="0012796C">
        <w:rPr>
          <w:color w:val="00B050"/>
          <w:sz w:val="24"/>
          <w:szCs w:val="24"/>
        </w:rPr>
        <w:t>договор на размещение</w:t>
      </w:r>
      <w:r>
        <w:rPr>
          <w:sz w:val="24"/>
          <w:szCs w:val="24"/>
        </w:rPr>
        <w:t xml:space="preserve">, который заключается между органом местного самоуправления муниципального образования Пензенской области, определенным в соответствии </w:t>
      </w:r>
      <w:r>
        <w:rPr>
          <w:color w:val="C9211E"/>
          <w:sz w:val="24"/>
          <w:szCs w:val="24"/>
        </w:rPr>
        <w:t xml:space="preserve">с </w:t>
      </w:r>
      <w:r w:rsidRPr="00671875">
        <w:rPr>
          <w:color w:val="C9211E"/>
          <w:sz w:val="24"/>
          <w:szCs w:val="24"/>
        </w:rPr>
        <w:t xml:space="preserve">уставом муниципального образования </w:t>
      </w:r>
      <w:r>
        <w:rPr>
          <w:sz w:val="24"/>
          <w:szCs w:val="24"/>
        </w:rPr>
        <w:t xml:space="preserve">Пензенской области (далее - орган местного самоуправления), и юридическим лицом, индивидуальным предпринимателем, а также </w:t>
      </w:r>
      <w:r>
        <w:rPr>
          <w:sz w:val="24"/>
          <w:szCs w:val="24"/>
          <w:lang w:bidi="ar-SA"/>
        </w:rPr>
        <w:t>гражданином, применяющим специальный налоговый режим «Налог на профессиональный доход»</w:t>
      </w:r>
      <w:r>
        <w:rPr>
          <w:sz w:val="24"/>
          <w:szCs w:val="24"/>
        </w:rPr>
        <w:t xml:space="preserve"> (далее - хозяйствующий субъект).</w:t>
      </w:r>
      <w:proofErr w:type="gramEnd"/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 Форма и порядок заключения договора на размещение, в том числе при предоставлении компенсационного места, утверждаются нормативным</w:t>
      </w:r>
      <w:r w:rsidRPr="00671875">
        <w:rPr>
          <w:color w:val="FF0000"/>
          <w:sz w:val="24"/>
          <w:szCs w:val="24"/>
        </w:rPr>
        <w:t>и</w:t>
      </w:r>
      <w:r>
        <w:rPr>
          <w:sz w:val="24"/>
          <w:szCs w:val="24"/>
        </w:rPr>
        <w:t xml:space="preserve"> правовым</w:t>
      </w:r>
      <w:r w:rsidRPr="00671875">
        <w:rPr>
          <w:color w:val="FF0000"/>
          <w:sz w:val="24"/>
          <w:szCs w:val="24"/>
        </w:rPr>
        <w:t>и</w:t>
      </w:r>
      <w:r>
        <w:rPr>
          <w:sz w:val="24"/>
          <w:szCs w:val="24"/>
        </w:rPr>
        <w:t xml:space="preserve"> акт</w:t>
      </w:r>
      <w:r>
        <w:rPr>
          <w:color w:val="FF0000"/>
          <w:sz w:val="24"/>
          <w:szCs w:val="24"/>
        </w:rPr>
        <w:t>а</w:t>
      </w:r>
      <w:r w:rsidRPr="00671875">
        <w:rPr>
          <w:color w:val="FF0000"/>
          <w:sz w:val="24"/>
          <w:szCs w:val="24"/>
        </w:rPr>
        <w:t xml:space="preserve">ми </w:t>
      </w:r>
      <w:r>
        <w:rPr>
          <w:sz w:val="24"/>
          <w:szCs w:val="24"/>
        </w:rPr>
        <w:t>органа местного самоуправления.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 Заключение договора на размещение осуществляется по результатам торгов, проводимых в форме аукциона, за исключением случаев, предусмотренных частью 9 настоящей статьи. Порядок проведения торгов устанавливается нормативным правовым актом органа местного самоуправления.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 За размещение нестационарного торгового объекта взимается плата.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Порядок внесения платы за размещение нестационарного торгового объекта утверждается нормативным правовым актом органа местного самоуправления.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 Размер платы за размещение нестационарного торгового объекта на основании договора на размещение, заключенного по результатам торгов, определяется по итогам аукциона. Начальная цена предмета аукциона устанавливается в размере платы за размещение нестационарного торгового объекта</w:t>
      </w:r>
      <w:r>
        <w:t xml:space="preserve"> </w:t>
      </w:r>
      <w:r>
        <w:rPr>
          <w:sz w:val="24"/>
          <w:szCs w:val="24"/>
        </w:rPr>
        <w:t>нормативным правовым актом органа местного самоуправления.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Размер платы за размещение нестационарного торгового объекта на основании договора на размещение, заключенного без проведения торгов, устанавливается нормативным правовым актом органа местного самоуправления.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 Договор на размещение заключается на срок не менее семи лет, за исключением случаев, установленных настоящим Законом.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Сроки действия договоров на размещение, действи</w:t>
      </w:r>
      <w:r>
        <w:rPr>
          <w:color w:val="C9211E"/>
          <w:sz w:val="24"/>
          <w:szCs w:val="24"/>
        </w:rPr>
        <w:t>е</w:t>
      </w:r>
      <w:r>
        <w:rPr>
          <w:sz w:val="24"/>
          <w:szCs w:val="24"/>
        </w:rPr>
        <w:t xml:space="preserve"> которых </w:t>
      </w:r>
      <w:r>
        <w:rPr>
          <w:color w:val="C9211E"/>
          <w:sz w:val="24"/>
          <w:szCs w:val="24"/>
        </w:rPr>
        <w:t>прекращаются</w:t>
      </w:r>
      <w:r>
        <w:rPr>
          <w:sz w:val="24"/>
          <w:szCs w:val="24"/>
        </w:rPr>
        <w:t xml:space="preserve"> со дня вступления в силу постановления Правительства Российской Федерации от 12.03.2022 № 353 «Об особенностях разрешительной деятельности в Российской Федерации» по 31.12.2026, </w:t>
      </w:r>
      <w:r>
        <w:rPr>
          <w:color w:val="C9211E"/>
          <w:sz w:val="24"/>
          <w:szCs w:val="24"/>
        </w:rPr>
        <w:t>продлеваются на срок до 7 лет</w:t>
      </w:r>
      <w:r>
        <w:rPr>
          <w:sz w:val="24"/>
          <w:szCs w:val="24"/>
        </w:rPr>
        <w:t xml:space="preserve"> (если более длительные сроки продления не предусмотрены договором на размещение в местах, определенных схемой размещения, утвержденной органом местного самоуправления) без проведения аукциона.</w:t>
      </w:r>
      <w:proofErr w:type="gramEnd"/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продажи отдельных видов сезонных товаров, размещения сезонных нестационарных торговых объектов нормативным правовым актом органа местного самоуправления могут быть установлены иные сроки </w:t>
      </w:r>
      <w:r>
        <w:rPr>
          <w:color w:val="C9211E"/>
          <w:sz w:val="24"/>
          <w:szCs w:val="24"/>
        </w:rPr>
        <w:t>действия договора на размещение</w:t>
      </w:r>
      <w:r>
        <w:rPr>
          <w:sz w:val="24"/>
          <w:szCs w:val="24"/>
        </w:rPr>
        <w:t xml:space="preserve"> сезонных нестационарных торговых объектов с учетом предложений хозяйствующих субъектов.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8. Не допускается уступка хозяйствующим субъектом прав по договору на размещение третьим лицам.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9. Право на заключение договора на размещение без проведения торгов предоставляется: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1) хозяйствующим субъектам, с которыми до вступления в силу настоящего Закона были заключены договоры аренды независимо от даты окончания срока их действия, за исключением </w:t>
      </w:r>
      <w:r w:rsidRPr="00BF7E3C">
        <w:rPr>
          <w:color w:val="FF0000"/>
          <w:sz w:val="24"/>
          <w:szCs w:val="24"/>
        </w:rPr>
        <w:t xml:space="preserve">договоров аренды </w:t>
      </w:r>
      <w:r>
        <w:rPr>
          <w:sz w:val="24"/>
          <w:szCs w:val="24"/>
        </w:rPr>
        <w:t>в целях размещения нестационарных торговых объектов, в отношении которых приняты судебные решения о сносе, либо договоры аренды расторгнуты по инициативе арендодателя или по соглашению сторон;</w:t>
      </w:r>
      <w:proofErr w:type="gramEnd"/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2) хозяйствующим субъектам, с которыми были заключены договоры на размещение, при их заключении на новый срок;</w:t>
      </w:r>
    </w:p>
    <w:p w:rsidR="00124E0A" w:rsidRDefault="00671875">
      <w:pPr>
        <w:ind w:firstLine="567"/>
        <w:jc w:val="both"/>
        <w:rPr>
          <w:color w:val="000000" w:themeColor="text1"/>
        </w:rPr>
      </w:pPr>
      <w:r>
        <w:rPr>
          <w:color w:val="000000" w:themeColor="text1"/>
          <w:sz w:val="24"/>
          <w:szCs w:val="24"/>
        </w:rPr>
        <w:t xml:space="preserve">3) хозяйствующим субъектам - владельцам нестационарных торговых объектов, расположенных на землях или земельных участках на основании ранее заключенного договора аренды, </w:t>
      </w:r>
      <w:r>
        <w:rPr>
          <w:color w:val="C9211E"/>
          <w:sz w:val="24"/>
          <w:szCs w:val="24"/>
        </w:rPr>
        <w:t>и (или)</w:t>
      </w:r>
      <w:r>
        <w:rPr>
          <w:color w:val="000000" w:themeColor="text1"/>
          <w:sz w:val="24"/>
          <w:szCs w:val="24"/>
        </w:rPr>
        <w:t xml:space="preserve"> договора на размещение на основании решения органа местного самоуправления, или судебного решения о включении такого объекта в схему размещения, принятых до вступления в силу настоящего Закона;</w:t>
      </w:r>
    </w:p>
    <w:p w:rsidR="00124E0A" w:rsidRDefault="00671875">
      <w:pPr>
        <w:ind w:firstLine="56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4) владельцам нестационарных торговых объектов, основной вид экономической деятельности которых согласно Общероссийскому классификатору видов экономической деятельности ОК 029-2014 (КДЕС</w:t>
      </w:r>
      <w:proofErr w:type="gramStart"/>
      <w:r>
        <w:rPr>
          <w:color w:val="000000" w:themeColor="text1"/>
          <w:sz w:val="24"/>
          <w:szCs w:val="24"/>
        </w:rPr>
        <w:t xml:space="preserve"> Р</w:t>
      </w:r>
      <w:proofErr w:type="gramEnd"/>
      <w:r>
        <w:rPr>
          <w:color w:val="000000" w:themeColor="text1"/>
          <w:sz w:val="24"/>
          <w:szCs w:val="24"/>
        </w:rPr>
        <w:t>ед. 2) относится к разделу А «Сельское, лесное хозяйство, охота, рыболовство и рыбоводство» (за исключением кодов ОКВЭД, относящихся к классам 02 и 03), разделу С «Обрабатывающие производства» (за исключением кодов ОКВЭД, относящихся к группам 11.01 - 11.05, классам 12 и 19) или являющимися организациями потребительской кооперации. Указанные в настоящем пункте владельцы нестационарных торговых объектов должны относиться к субъектам малого и среднего предпринимательства или физическим лицам, не являющимся индивидуальными предпринимателями и применяющим специальный налоговый режим «Налог на профессиональный доход»;</w:t>
      </w:r>
    </w:p>
    <w:p w:rsidR="00124E0A" w:rsidRDefault="00671875">
      <w:pPr>
        <w:ind w:firstLine="56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5) владельцам нестационарных торговых объектов, принявшим на себя обязательство осуществлять в нестационарном торговом объекте продажу газет, журналов и книг на бумажном носителе, а также сопутствующих товаров при условии, что доля продажи газет, журналов и книг на бумажном носителе в их товарообороте составляет не менее 50 процентов товарооборота;</w:t>
      </w:r>
    </w:p>
    <w:p w:rsidR="00124E0A" w:rsidRDefault="00671875">
      <w:pPr>
        <w:ind w:firstLine="567"/>
        <w:jc w:val="both"/>
        <w:rPr>
          <w:color w:val="000000" w:themeColor="text1"/>
        </w:rPr>
      </w:pPr>
      <w:r>
        <w:rPr>
          <w:color w:val="000000" w:themeColor="text1"/>
          <w:sz w:val="24"/>
          <w:szCs w:val="24"/>
        </w:rPr>
        <w:t>6) владельцам нестационарных торговых объектов при предоставлении им компенсационного места в соответствии со статьей 4 настоящего Закона;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7) хозяйствующим субъектам, подавшим единственную заявку </w:t>
      </w:r>
      <w:r>
        <w:rPr>
          <w:sz w:val="24"/>
          <w:szCs w:val="24"/>
        </w:rPr>
        <w:t>на участие в аукционе, при условии, что хозяйствующий субъект и его заявка соответствуют требованиям, указанным в извещении о проведен</w:t>
      </w:r>
      <w:proofErr w:type="gramStart"/>
      <w:r>
        <w:rPr>
          <w:sz w:val="24"/>
          <w:szCs w:val="24"/>
        </w:rPr>
        <w:t>ии ау</w:t>
      </w:r>
      <w:proofErr w:type="gramEnd"/>
      <w:r>
        <w:rPr>
          <w:sz w:val="24"/>
          <w:szCs w:val="24"/>
        </w:rPr>
        <w:t>кциона.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Хозяйствующие субъекты, указанные в пунктах 1 - 3 части 9 настоящей статьи, имеют </w:t>
      </w:r>
      <w:r w:rsidRPr="00671875">
        <w:rPr>
          <w:color w:val="00B050"/>
          <w:sz w:val="24"/>
          <w:szCs w:val="24"/>
        </w:rPr>
        <w:t>преимущественное</w:t>
      </w:r>
      <w:r>
        <w:rPr>
          <w:sz w:val="24"/>
          <w:szCs w:val="24"/>
        </w:rPr>
        <w:t xml:space="preserve"> право на заключение договора на размещение без проведения торгов перед хозяйствующими субъектами, указанными в пунктах 4 - 7 части 9 настоящей статьи.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случае поступления заявления о заключении договора на размещение в отношении одного места размещения нестационарного торгового объекта от нескольких хозяйствующих субъектов</w:t>
      </w:r>
      <w:proofErr w:type="gramEnd"/>
      <w:r>
        <w:rPr>
          <w:sz w:val="24"/>
          <w:szCs w:val="24"/>
        </w:rPr>
        <w:t>, указанных в пунктах 4 - 7 части 9 настоящей статьи, заключение договора на размещение осуществляется по результатам торгов.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11. При заключении договора на размещение должны соблюдаться требования, установленные правилами благоустройства территории муниципального образования.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несоответствия нестационарного торгового объекта правилам благоустройства территории муниципального образования орган местного самоуправления устанавливает порядок и сроки приведения его в соответствие с правилами благоустройства территории муниципального образования.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Перечень улиц, площадей и (или) их отрезков, на которых запрещается размещение нестационарных торговых объектов, устанавливается нормативным правовым актом органа местного самоуправления, в соответствии с правилами благоустройства территории муниципального образования.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12. Не допускается строительство объектов капитального строительства на землях или земельных участках, предназначенных для размещения нестационарного торгового объекта, а также реконструкция используемых нестационарных торговых объектов в объекты капитального строительства.</w:t>
      </w:r>
    </w:p>
    <w:p w:rsidR="00124E0A" w:rsidRDefault="00124E0A">
      <w:pPr>
        <w:ind w:firstLine="567"/>
        <w:jc w:val="both"/>
        <w:rPr>
          <w:sz w:val="24"/>
          <w:szCs w:val="24"/>
        </w:rPr>
      </w:pPr>
    </w:p>
    <w:p w:rsidR="00124E0A" w:rsidRDefault="00671875">
      <w:pPr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Статья 4. Особенности предоставления компенсационного места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Хозяйствующий субъект, осуществляющий размещение нестационарного торгового объекта на основании </w:t>
      </w:r>
      <w:r>
        <w:rPr>
          <w:color w:val="C9211E"/>
          <w:sz w:val="24"/>
          <w:szCs w:val="24"/>
        </w:rPr>
        <w:t xml:space="preserve">договора аренды или </w:t>
      </w:r>
      <w:r>
        <w:rPr>
          <w:sz w:val="24"/>
          <w:szCs w:val="24"/>
        </w:rPr>
        <w:t xml:space="preserve">договора на размещение, имеет право на предоставление компенсационного места в случае внесения в соответствии с действующим законодательством в </w:t>
      </w:r>
      <w:r w:rsidRPr="00671875">
        <w:rPr>
          <w:color w:val="00B050"/>
          <w:sz w:val="24"/>
          <w:szCs w:val="24"/>
        </w:rPr>
        <w:t xml:space="preserve">схему размещения </w:t>
      </w:r>
      <w:r>
        <w:rPr>
          <w:sz w:val="24"/>
          <w:szCs w:val="24"/>
        </w:rPr>
        <w:t>изменений, которые исключают возможность дальнейшего размещения нестационарного торгового объекта.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В случае, указанном в части 1 настоящей статьи, орган местного самоуправления обязан не менее чем за 3 месяца до даты исключения места размещения нестационарного торгового объекта из </w:t>
      </w:r>
      <w:r w:rsidRPr="00671875">
        <w:rPr>
          <w:color w:val="00B050"/>
          <w:sz w:val="24"/>
          <w:szCs w:val="24"/>
        </w:rPr>
        <w:t xml:space="preserve">схемы размещения </w:t>
      </w:r>
      <w:r>
        <w:rPr>
          <w:sz w:val="24"/>
          <w:szCs w:val="24"/>
        </w:rPr>
        <w:t xml:space="preserve">в письменном виде известить хозяйствующий субъект о принятом </w:t>
      </w:r>
      <w:proofErr w:type="gramStart"/>
      <w:r>
        <w:rPr>
          <w:sz w:val="24"/>
          <w:szCs w:val="24"/>
        </w:rPr>
        <w:t>решении</w:t>
      </w:r>
      <w:proofErr w:type="gramEnd"/>
      <w:r>
        <w:rPr>
          <w:sz w:val="24"/>
          <w:szCs w:val="24"/>
        </w:rPr>
        <w:t xml:space="preserve"> об исключении места размещения нестационарного торгового объекта из схемы размещения.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Орган местного самоуправления обязан предложить хозяйствующему субъекту компенсационное место на период до окончания срока действия </w:t>
      </w:r>
      <w:bookmarkStart w:id="0" w:name="_GoBack"/>
      <w:r>
        <w:rPr>
          <w:color w:val="C9211E"/>
          <w:sz w:val="24"/>
          <w:szCs w:val="24"/>
        </w:rPr>
        <w:t>договор</w:t>
      </w:r>
      <w:bookmarkEnd w:id="0"/>
      <w:r>
        <w:rPr>
          <w:color w:val="C9211E"/>
          <w:sz w:val="24"/>
          <w:szCs w:val="24"/>
        </w:rPr>
        <w:t>а аренды или</w:t>
      </w:r>
      <w:r>
        <w:rPr>
          <w:sz w:val="24"/>
          <w:szCs w:val="24"/>
        </w:rPr>
        <w:t xml:space="preserve"> договора на размещение.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 Орган местного самоуправления осуществляет подбор компенсационного места, сопоставимого с исключаемым местом размещения нестационарного торгового объекта по площади и плате за размещение.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 Изъятие места размещения нестационарного торгового объекта до предоставления компенсационного места не допускается, за исключением случая, указанного в части 6 настоящей статьи.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В случае отказа хозяйствующего субъекта от компенсационного места, орган местного самоуправления </w:t>
      </w:r>
      <w:r>
        <w:rPr>
          <w:color w:val="C9211E"/>
          <w:sz w:val="24"/>
          <w:szCs w:val="24"/>
        </w:rPr>
        <w:t xml:space="preserve">в течение месяца от какого момента </w:t>
      </w:r>
      <w:r>
        <w:rPr>
          <w:sz w:val="24"/>
          <w:szCs w:val="24"/>
        </w:rPr>
        <w:t xml:space="preserve">осуществляет подбор нового компенсационного места. В случае повторного отказа хозяйствующего субъекта от компенсационного места, </w:t>
      </w:r>
      <w:r>
        <w:rPr>
          <w:color w:val="C9211E"/>
          <w:sz w:val="24"/>
          <w:szCs w:val="24"/>
        </w:rPr>
        <w:t>договора аренды или</w:t>
      </w:r>
      <w:r>
        <w:rPr>
          <w:sz w:val="24"/>
          <w:szCs w:val="24"/>
        </w:rPr>
        <w:t xml:space="preserve"> договор на размещение расторгается в одностороннем порядке.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Уменьшение площади территории используемых </w:t>
      </w:r>
      <w:r w:rsidRPr="00671875">
        <w:rPr>
          <w:color w:val="FF0000"/>
          <w:sz w:val="24"/>
          <w:szCs w:val="24"/>
        </w:rPr>
        <w:t>земельных участков</w:t>
      </w:r>
      <w:r>
        <w:rPr>
          <w:sz w:val="24"/>
          <w:szCs w:val="24"/>
        </w:rPr>
        <w:t xml:space="preserve">, предназначенной для размещения нестационарного торгового объекта, изменение специализации нестационарного торгового объекта, предусмотренной ранее заключенным </w:t>
      </w:r>
      <w:r>
        <w:rPr>
          <w:color w:val="C9211E"/>
          <w:sz w:val="24"/>
          <w:szCs w:val="24"/>
        </w:rPr>
        <w:t>договора аренды или</w:t>
      </w:r>
      <w:r>
        <w:rPr>
          <w:sz w:val="24"/>
          <w:szCs w:val="24"/>
        </w:rPr>
        <w:t xml:space="preserve"> договором на размещение, при предоставлении компенсационного места не допускается без письменного согласия хозяйствующего субъекта.</w:t>
      </w:r>
    </w:p>
    <w:p w:rsidR="00124E0A" w:rsidRDefault="00124E0A">
      <w:pPr>
        <w:ind w:firstLine="567"/>
        <w:jc w:val="both"/>
        <w:rPr>
          <w:b/>
          <w:sz w:val="24"/>
          <w:szCs w:val="24"/>
        </w:rPr>
      </w:pPr>
    </w:p>
    <w:p w:rsidR="00124E0A" w:rsidRDefault="00671875">
      <w:pPr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Статья 5. Вступление в силу настоящего Закона, переходные положения</w:t>
      </w:r>
    </w:p>
    <w:p w:rsidR="00124E0A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Настоящий Закон вступает в силу </w:t>
      </w:r>
      <w:r w:rsidR="00C87EEF" w:rsidRPr="00C87EEF">
        <w:rPr>
          <w:color w:val="FF0000"/>
          <w:sz w:val="24"/>
          <w:szCs w:val="24"/>
        </w:rPr>
        <w:t xml:space="preserve">с 1 января </w:t>
      </w:r>
      <w:r w:rsidRPr="00C87EEF">
        <w:rPr>
          <w:color w:val="FF0000"/>
          <w:sz w:val="24"/>
          <w:szCs w:val="24"/>
        </w:rPr>
        <w:t xml:space="preserve"> 202</w:t>
      </w:r>
      <w:r w:rsidR="00BF7E3C">
        <w:rPr>
          <w:color w:val="FF0000"/>
          <w:sz w:val="24"/>
          <w:szCs w:val="24"/>
        </w:rPr>
        <w:t xml:space="preserve">6 </w:t>
      </w:r>
      <w:r w:rsidRPr="00C87EEF">
        <w:rPr>
          <w:color w:val="FF0000"/>
          <w:sz w:val="24"/>
          <w:szCs w:val="24"/>
        </w:rPr>
        <w:t>год</w:t>
      </w:r>
      <w:r w:rsidR="00C87EEF" w:rsidRPr="00C87EEF">
        <w:rPr>
          <w:color w:val="FF0000"/>
          <w:sz w:val="24"/>
          <w:szCs w:val="24"/>
        </w:rPr>
        <w:t>а</w:t>
      </w:r>
      <w:r>
        <w:rPr>
          <w:sz w:val="24"/>
          <w:szCs w:val="24"/>
        </w:rPr>
        <w:t>.</w:t>
      </w:r>
    </w:p>
    <w:p w:rsidR="00C87EEF" w:rsidRDefault="0067187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C87EEF" w:rsidRPr="00C87EEF">
        <w:rPr>
          <w:color w:val="FF0000"/>
          <w:sz w:val="24"/>
          <w:szCs w:val="24"/>
        </w:rPr>
        <w:t>Нормативные правовые акты Пензенской области, м</w:t>
      </w:r>
      <w:r>
        <w:rPr>
          <w:sz w:val="24"/>
          <w:szCs w:val="24"/>
        </w:rPr>
        <w:t>униципальные правовые акты Пензенской области подлежат приведению в соответствие с настоящим Законом не позднее 1 января 2026 года.</w:t>
      </w:r>
      <w:r w:rsidR="00C87EEF">
        <w:rPr>
          <w:sz w:val="24"/>
          <w:szCs w:val="24"/>
        </w:rPr>
        <w:t xml:space="preserve"> </w:t>
      </w:r>
      <w:r w:rsidR="00C87EEF" w:rsidRPr="00C87EEF">
        <w:rPr>
          <w:color w:val="FF0000"/>
          <w:sz w:val="24"/>
          <w:szCs w:val="24"/>
        </w:rPr>
        <w:t xml:space="preserve">До их приведения в соответствие с настоящим </w:t>
      </w:r>
      <w:r w:rsidR="00C87EEF">
        <w:rPr>
          <w:color w:val="FF0000"/>
          <w:sz w:val="24"/>
          <w:szCs w:val="24"/>
        </w:rPr>
        <w:t>З</w:t>
      </w:r>
      <w:r w:rsidR="00C87EEF" w:rsidRPr="00C87EEF">
        <w:rPr>
          <w:color w:val="FF0000"/>
          <w:sz w:val="24"/>
          <w:szCs w:val="24"/>
        </w:rPr>
        <w:t xml:space="preserve">аконом они применяются к соответствующим отношениям в части, не противоречащей настоящему </w:t>
      </w:r>
      <w:r w:rsidR="00C87EEF">
        <w:rPr>
          <w:color w:val="FF0000"/>
          <w:sz w:val="24"/>
          <w:szCs w:val="24"/>
        </w:rPr>
        <w:t>З</w:t>
      </w:r>
      <w:r w:rsidR="00C87EEF" w:rsidRPr="00C87EEF">
        <w:rPr>
          <w:color w:val="FF0000"/>
          <w:sz w:val="24"/>
          <w:szCs w:val="24"/>
        </w:rPr>
        <w:t>акону.</w:t>
      </w:r>
    </w:p>
    <w:p w:rsidR="00124E0A" w:rsidRDefault="00124E0A">
      <w:pPr>
        <w:pStyle w:val="af5"/>
        <w:ind w:left="0" w:firstLine="567"/>
        <w:jc w:val="both"/>
        <w:rPr>
          <w:sz w:val="24"/>
          <w:szCs w:val="24"/>
        </w:rPr>
      </w:pPr>
    </w:p>
    <w:p w:rsidR="00124E0A" w:rsidRDefault="00124E0A">
      <w:pPr>
        <w:pStyle w:val="af5"/>
        <w:ind w:left="0" w:firstLine="567"/>
        <w:jc w:val="both"/>
        <w:rPr>
          <w:sz w:val="24"/>
          <w:szCs w:val="24"/>
        </w:rPr>
      </w:pPr>
    </w:p>
    <w:sectPr w:rsidR="00124E0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5" w:right="1418" w:bottom="1134" w:left="1418" w:header="720" w:footer="720" w:gutter="0"/>
      <w:cols w:space="720"/>
      <w:formProt w:val="0"/>
      <w:titlePg/>
      <w:docGrid w:linePitch="360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875" w:rsidRDefault="00671875">
      <w:r>
        <w:separator/>
      </w:r>
    </w:p>
  </w:endnote>
  <w:endnote w:type="continuationSeparator" w:id="0">
    <w:p w:rsidR="00671875" w:rsidRDefault="00671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Arial"/>
    <w:charset w:val="01"/>
    <w:family w:val="swiss"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875" w:rsidRDefault="00671875">
    <w:pPr>
      <w:pStyle w:val="af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875" w:rsidRDefault="00671875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875" w:rsidRDefault="00671875">
      <w:r>
        <w:separator/>
      </w:r>
    </w:p>
  </w:footnote>
  <w:footnote w:type="continuationSeparator" w:id="0">
    <w:p w:rsidR="00671875" w:rsidRDefault="006718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875" w:rsidRDefault="00671875">
    <w:pPr>
      <w:pStyle w:val="af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875" w:rsidRDefault="00671875">
    <w:pPr>
      <w:spacing w:before="1920" w:after="720"/>
      <w:jc w:val="center"/>
    </w:pPr>
    <w:r>
      <w:rPr>
        <w:b/>
        <w:spacing w:val="20"/>
        <w:sz w:val="56"/>
      </w:rPr>
      <w:t>ЗАКОН</w:t>
    </w:r>
    <w:r>
      <w:rPr>
        <w:b/>
        <w:sz w:val="56"/>
      </w:rPr>
      <w:br/>
      <w:t>Пензенской области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1B3687"/>
    <w:multiLevelType w:val="multilevel"/>
    <w:tmpl w:val="10107800"/>
    <w:lvl w:ilvl="0">
      <w:start w:val="1"/>
      <w:numFmt w:val="upperRoman"/>
      <w:pStyle w:val="7"/>
      <w:suff w:val="space"/>
      <w:lvlText w:val="Глава %1."/>
      <w:lvlJc w:val="left"/>
      <w:pPr>
        <w:tabs>
          <w:tab w:val="num" w:pos="0"/>
        </w:tabs>
        <w:ind w:left="2127" w:hanging="1418"/>
      </w:pPr>
    </w:lvl>
    <w:lvl w:ilvl="1">
      <w:start w:val="1"/>
      <w:numFmt w:val="decimal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tabs>
          <w:tab w:val="num" w:pos="0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pStyle w:val="4"/>
      <w:suff w:val="nothing"/>
      <w:lvlText w:val="Статья %4"/>
      <w:lvlJc w:val="left"/>
      <w:pPr>
        <w:tabs>
          <w:tab w:val="num" w:pos="0"/>
        </w:tabs>
        <w:ind w:left="1560" w:hanging="1134"/>
      </w:pPr>
      <w:rPr>
        <w:b/>
        <w:i w:val="0"/>
        <w:sz w:val="24"/>
        <w:szCs w:val="24"/>
      </w:rPr>
    </w:lvl>
    <w:lvl w:ilvl="4">
      <w:start w:val="1"/>
      <w:numFmt w:val="decimal"/>
      <w:pStyle w:val="5"/>
      <w:suff w:val="nothing"/>
      <w:lvlText w:val=""/>
      <w:lvlJc w:val="left"/>
      <w:pPr>
        <w:tabs>
          <w:tab w:val="num" w:pos="0"/>
        </w:tabs>
        <w:ind w:left="284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E0A"/>
    <w:rsid w:val="00124E0A"/>
    <w:rsid w:val="0012796C"/>
    <w:rsid w:val="00671875"/>
    <w:rsid w:val="00BF7E3C"/>
    <w:rsid w:val="00C8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ru-RU" w:eastAsia="en-US" w:bidi="en-US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keepLines/>
      <w:spacing w:after="360"/>
      <w:jc w:val="center"/>
      <w:outlineLvl w:val="0"/>
    </w:pPr>
    <w:rPr>
      <w:rFonts w:ascii="Arial" w:hAnsi="Arial"/>
      <w:b/>
      <w:sz w:val="28"/>
    </w:rPr>
  </w:style>
  <w:style w:type="paragraph" w:styleId="2">
    <w:name w:val="heading 2"/>
    <w:basedOn w:val="a"/>
    <w:next w:val="a0"/>
    <w:qFormat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</w:rPr>
  </w:style>
  <w:style w:type="paragraph" w:styleId="3">
    <w:name w:val="heading 3"/>
    <w:basedOn w:val="a"/>
    <w:next w:val="4"/>
    <w:link w:val="30"/>
    <w:qFormat/>
    <w:pPr>
      <w:keepNext/>
      <w:keepLines/>
      <w:numPr>
        <w:ilvl w:val="2"/>
        <w:numId w:val="1"/>
      </w:numPr>
      <w:spacing w:before="360"/>
      <w:outlineLvl w:val="2"/>
    </w:pPr>
    <w:rPr>
      <w:b/>
      <w:sz w:val="28"/>
    </w:rPr>
  </w:style>
  <w:style w:type="paragraph" w:styleId="4">
    <w:name w:val="heading 4"/>
    <w:basedOn w:val="a"/>
    <w:next w:val="a0"/>
    <w:link w:val="41"/>
    <w:qFormat/>
    <w:pPr>
      <w:keepNext/>
      <w:keepLines/>
      <w:numPr>
        <w:ilvl w:val="3"/>
        <w:numId w:val="1"/>
      </w:numPr>
      <w:spacing w:before="240"/>
      <w:outlineLvl w:val="3"/>
    </w:pPr>
    <w:rPr>
      <w:b/>
      <w:lang w:val="en-US"/>
    </w:rPr>
  </w:style>
  <w:style w:type="paragraph" w:styleId="5">
    <w:name w:val="heading 5"/>
    <w:basedOn w:val="a"/>
    <w:next w:val="a"/>
    <w:link w:val="50"/>
    <w:qFormat/>
    <w:pPr>
      <w:keepNext/>
      <w:numPr>
        <w:ilvl w:val="4"/>
        <w:numId w:val="1"/>
      </w:numPr>
      <w:spacing w:before="240" w:after="60"/>
      <w:ind w:left="0" w:right="284"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pPr>
      <w:keepNext/>
      <w:spacing w:before="240" w:after="60"/>
      <w:jc w:val="center"/>
      <w:outlineLvl w:val="5"/>
    </w:pPr>
    <w:rPr>
      <w:sz w:val="28"/>
    </w:rPr>
  </w:style>
  <w:style w:type="paragraph" w:styleId="7">
    <w:name w:val="heading 7"/>
    <w:basedOn w:val="a"/>
    <w:next w:val="a"/>
    <w:link w:val="71"/>
    <w:qFormat/>
    <w:pPr>
      <w:keepNext/>
      <w:numPr>
        <w:numId w:val="1"/>
      </w:numPr>
      <w:spacing w:before="240" w:after="60"/>
      <w:jc w:val="center"/>
      <w:outlineLvl w:val="6"/>
    </w:pPr>
    <w:rPr>
      <w:rFonts w:ascii="Arial" w:hAnsi="Arial"/>
      <w:lang w:val="en-US"/>
    </w:rPr>
  </w:style>
  <w:style w:type="paragraph" w:styleId="8">
    <w:name w:val="heading 8"/>
    <w:basedOn w:val="a"/>
    <w:next w:val="a"/>
    <w:link w:val="80"/>
    <w:qFormat/>
    <w:pPr>
      <w:spacing w:after="240" w:line="240" w:lineRule="exact"/>
      <w:ind w:left="4536"/>
      <w:outlineLvl w:val="7"/>
    </w:pPr>
  </w:style>
  <w:style w:type="paragraph" w:styleId="9">
    <w:name w:val="heading 9"/>
    <w:basedOn w:val="a"/>
    <w:next w:val="5"/>
    <w:link w:val="90"/>
    <w:qFormat/>
    <w:pPr>
      <w:keepNext/>
      <w:keepLines/>
      <w:tabs>
        <w:tab w:val="left" w:pos="0"/>
      </w:tabs>
      <w:spacing w:after="120" w:line="240" w:lineRule="exact"/>
      <w:ind w:left="2127" w:hanging="1418"/>
      <w:jc w:val="right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qFormat/>
    <w:rPr>
      <w:sz w:val="48"/>
      <w:szCs w:val="48"/>
    </w:rPr>
  </w:style>
  <w:style w:type="character" w:customStyle="1" w:styleId="SubtitleChar">
    <w:name w:val="Subtitle Char"/>
    <w:basedOn w:val="a1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basedOn w:val="a1"/>
    <w:uiPriority w:val="99"/>
    <w:qFormat/>
  </w:style>
  <w:style w:type="character" w:customStyle="1" w:styleId="CaptionChar">
    <w:name w:val="Caption Char"/>
    <w:uiPriority w:val="99"/>
    <w:qFormat/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10">
    <w:name w:val="Заголовок 1 Знак"/>
    <w:link w:val="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1">
    <w:name w:val="Цитата 2 Знак1"/>
    <w:link w:val="20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1">
    <w:name w:val="Заголовок 4 Знак1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1">
    <w:name w:val="Заголовок 7 Знак1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qFormat/>
  </w:style>
  <w:style w:type="character" w:customStyle="1" w:styleId="a4">
    <w:name w:val="Название Знак"/>
    <w:uiPriority w:val="10"/>
    <w:qFormat/>
    <w:rPr>
      <w:sz w:val="48"/>
      <w:szCs w:val="48"/>
    </w:rPr>
  </w:style>
  <w:style w:type="character" w:customStyle="1" w:styleId="a5">
    <w:name w:val="Подзаголовок Знак"/>
    <w:uiPriority w:val="11"/>
    <w:qFormat/>
    <w:rPr>
      <w:sz w:val="24"/>
      <w:szCs w:val="24"/>
    </w:rPr>
  </w:style>
  <w:style w:type="character" w:customStyle="1" w:styleId="22">
    <w:name w:val="Цитата 2 Знак"/>
    <w:link w:val="22"/>
    <w:uiPriority w:val="29"/>
    <w:qFormat/>
    <w:rPr>
      <w:i/>
    </w:rPr>
  </w:style>
  <w:style w:type="character" w:customStyle="1" w:styleId="a6">
    <w:name w:val="Выделенная цитата Знак"/>
    <w:uiPriority w:val="30"/>
    <w:qFormat/>
    <w:rPr>
      <w:i/>
    </w:rPr>
  </w:style>
  <w:style w:type="character" w:customStyle="1" w:styleId="a7">
    <w:name w:val="Верхний колонтитул Знак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a8">
    <w:name w:val="Нижний колонтитул Знак"/>
    <w:uiPriority w:val="99"/>
    <w:qFormat/>
  </w:style>
  <w:style w:type="character" w:customStyle="1" w:styleId="-">
    <w:name w:val="Интернет-ссылка"/>
    <w:rPr>
      <w:color w:val="000080"/>
      <w:u w:val="single"/>
      <w:lang w:val="en-US" w:eastAsia="en-US" w:bidi="en-US"/>
    </w:rPr>
  </w:style>
  <w:style w:type="character" w:customStyle="1" w:styleId="a9">
    <w:name w:val="Текст сноски Знак"/>
    <w:uiPriority w:val="99"/>
    <w:qFormat/>
    <w:rPr>
      <w:sz w:val="18"/>
    </w:rPr>
  </w:style>
  <w:style w:type="character" w:customStyle="1" w:styleId="aa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Pr>
      <w:vertAlign w:val="superscript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  <w:rPr>
      <w:sz w:val="24"/>
    </w:rPr>
  </w:style>
  <w:style w:type="character" w:customStyle="1" w:styleId="WW8Num1z2">
    <w:name w:val="WW8Num1z2"/>
    <w:qFormat/>
    <w:rPr>
      <w:b/>
      <w:i w:val="0"/>
      <w:sz w:val="28"/>
      <w:szCs w:val="28"/>
    </w:rPr>
  </w:style>
  <w:style w:type="character" w:customStyle="1" w:styleId="WW8Num1z3">
    <w:name w:val="WW8Num1z3"/>
    <w:qFormat/>
    <w:rPr>
      <w:b/>
      <w:i w:val="0"/>
      <w:sz w:val="24"/>
      <w:szCs w:val="24"/>
    </w:rPr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  <w:rPr>
      <w:sz w:val="24"/>
    </w:rPr>
  </w:style>
  <w:style w:type="character" w:customStyle="1" w:styleId="WW8Num2z2">
    <w:name w:val="WW8Num2z2"/>
    <w:qFormat/>
    <w:rPr>
      <w:b/>
      <w:i w:val="0"/>
      <w:sz w:val="28"/>
      <w:szCs w:val="28"/>
    </w:rPr>
  </w:style>
  <w:style w:type="character" w:customStyle="1" w:styleId="WW8Num2z3">
    <w:name w:val="WW8Num2z3"/>
    <w:qFormat/>
    <w:rPr>
      <w:b/>
      <w:i w:val="0"/>
      <w:sz w:val="24"/>
      <w:szCs w:val="24"/>
    </w:rPr>
  </w:style>
  <w:style w:type="character" w:customStyle="1" w:styleId="WW8Num2z7">
    <w:name w:val="WW8Num2z7"/>
    <w:qFormat/>
    <w:rPr>
      <w:b w:val="0"/>
      <w:i w:val="0"/>
      <w:sz w:val="24"/>
      <w:szCs w:val="24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  <w:rPr>
      <w:sz w:val="24"/>
    </w:rPr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Symbol" w:hAnsi="Symbol"/>
    </w:rPr>
  </w:style>
  <w:style w:type="character" w:customStyle="1" w:styleId="WW8Num5z0">
    <w:name w:val="WW8Num5z0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8">
    <w:name w:val="WW8Num2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11">
    <w:name w:val="Заголовок 1 Знак1"/>
    <w:qFormat/>
  </w:style>
  <w:style w:type="character" w:styleId="ab">
    <w:name w:val="page number"/>
    <w:qFormat/>
    <w:rPr>
      <w:sz w:val="24"/>
      <w:szCs w:val="24"/>
    </w:rPr>
  </w:style>
  <w:style w:type="character" w:customStyle="1" w:styleId="70">
    <w:name w:val="Заголовок 7 Знак"/>
    <w:qFormat/>
    <w:rPr>
      <w:rFonts w:ascii="Arial" w:hAnsi="Arial"/>
      <w:sz w:val="24"/>
      <w:lang w:val="en-US"/>
    </w:rPr>
  </w:style>
  <w:style w:type="character" w:customStyle="1" w:styleId="ac">
    <w:name w:val="Основной текст Знак"/>
    <w:qFormat/>
    <w:rPr>
      <w:sz w:val="24"/>
    </w:rPr>
  </w:style>
  <w:style w:type="character" w:customStyle="1" w:styleId="40">
    <w:name w:val="Заголовок 4 Знак"/>
    <w:qFormat/>
    <w:rPr>
      <w:b/>
      <w:sz w:val="24"/>
      <w:lang w:val="en-US"/>
    </w:rPr>
  </w:style>
  <w:style w:type="character" w:customStyle="1" w:styleId="ad">
    <w:name w:val="Текст выноски Знак"/>
    <w:qFormat/>
    <w:rPr>
      <w:rFonts w:ascii="Tahoma" w:hAnsi="Tahoma"/>
      <w:sz w:val="16"/>
      <w:szCs w:val="16"/>
    </w:rPr>
  </w:style>
  <w:style w:type="character" w:styleId="ae">
    <w:name w:val="annotation reference"/>
    <w:semiHidden/>
    <w:qFormat/>
    <w:rPr>
      <w:sz w:val="16"/>
      <w:szCs w:val="16"/>
    </w:rPr>
  </w:style>
  <w:style w:type="character" w:customStyle="1" w:styleId="af">
    <w:name w:val="Текст примечания Знак"/>
    <w:semiHidden/>
    <w:qFormat/>
    <w:rPr>
      <w:lang w:eastAsia="zh-CN"/>
    </w:rPr>
  </w:style>
  <w:style w:type="character" w:customStyle="1" w:styleId="af0">
    <w:name w:val="Тема примечания Знак"/>
    <w:semiHidden/>
    <w:qFormat/>
    <w:rPr>
      <w:b/>
      <w:bCs/>
      <w:lang w:eastAsia="zh-CN"/>
    </w:rPr>
  </w:style>
  <w:style w:type="paragraph" w:customStyle="1" w:styleId="af1">
    <w:name w:val="Заголовок"/>
    <w:basedOn w:val="a"/>
    <w:next w:val="a0"/>
    <w:qFormat/>
    <w:pPr>
      <w:keepNext/>
      <w:spacing w:before="240" w:after="120"/>
    </w:pPr>
    <w:rPr>
      <w:rFonts w:ascii="PT Sans" w:eastAsia="Tahoma" w:hAnsi="PT Sans"/>
      <w:sz w:val="28"/>
      <w:szCs w:val="28"/>
    </w:rPr>
  </w:style>
  <w:style w:type="paragraph" w:styleId="a0">
    <w:name w:val="Body Text"/>
    <w:basedOn w:val="a"/>
    <w:pPr>
      <w:spacing w:before="120"/>
      <w:ind w:firstLine="567"/>
      <w:jc w:val="both"/>
    </w:pPr>
    <w:rPr>
      <w:lang w:val="en-US"/>
    </w:rPr>
  </w:style>
  <w:style w:type="paragraph" w:styleId="af2">
    <w:name w:val="List"/>
    <w:basedOn w:val="a0"/>
    <w:rPr>
      <w:rFonts w:ascii="PT Sans" w:hAnsi="PT Sans"/>
    </w:rPr>
  </w:style>
  <w:style w:type="paragraph" w:styleId="af3">
    <w:name w:val="caption"/>
    <w:basedOn w:val="a"/>
    <w:qFormat/>
    <w:pPr>
      <w:spacing w:before="120" w:after="120"/>
    </w:pPr>
    <w:rPr>
      <w:rFonts w:ascii="PT Sans" w:hAnsi="PT Sans"/>
      <w:i/>
      <w:iCs/>
      <w:sz w:val="24"/>
      <w:szCs w:val="24"/>
    </w:rPr>
  </w:style>
  <w:style w:type="paragraph" w:styleId="af4">
    <w:name w:val="index heading"/>
    <w:basedOn w:val="a"/>
    <w:qFormat/>
    <w:pPr>
      <w:suppressLineNumbers/>
    </w:pPr>
    <w:rPr>
      <w:rFonts w:ascii="PT Sans" w:hAnsi="PT Sans" w:cs="Noto Sans Devanagari"/>
    </w:rPr>
  </w:style>
  <w:style w:type="paragraph" w:styleId="af5">
    <w:name w:val="List Paragraph"/>
    <w:uiPriority w:val="34"/>
    <w:qFormat/>
    <w:pPr>
      <w:ind w:left="720"/>
      <w:contextualSpacing/>
    </w:pPr>
  </w:style>
  <w:style w:type="paragraph" w:styleId="af6">
    <w:name w:val="No Spacing"/>
    <w:uiPriority w:val="1"/>
    <w:qFormat/>
  </w:style>
  <w:style w:type="paragraph" w:styleId="af7">
    <w:name w:val="Title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f8">
    <w:name w:val="Subtitle"/>
    <w:uiPriority w:val="11"/>
    <w:qFormat/>
    <w:pPr>
      <w:spacing w:before="200" w:after="200"/>
    </w:pPr>
    <w:rPr>
      <w:sz w:val="24"/>
      <w:szCs w:val="24"/>
    </w:rPr>
  </w:style>
  <w:style w:type="paragraph" w:styleId="20">
    <w:name w:val="Quote"/>
    <w:link w:val="21"/>
    <w:uiPriority w:val="29"/>
    <w:qFormat/>
    <w:pPr>
      <w:ind w:left="720" w:right="720"/>
    </w:pPr>
    <w:rPr>
      <w:i/>
    </w:rPr>
  </w:style>
  <w:style w:type="paragraph" w:styleId="af9">
    <w:name w:val="Intense Quot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a">
    <w:name w:val="Верхний и нижний колонтитулы"/>
    <w:basedOn w:val="a"/>
    <w:qFormat/>
    <w:pPr>
      <w:tabs>
        <w:tab w:val="center" w:pos="4819"/>
        <w:tab w:val="right" w:pos="9638"/>
      </w:tabs>
    </w:pPr>
  </w:style>
  <w:style w:type="paragraph" w:styleId="afb">
    <w:name w:val="header"/>
    <w:basedOn w:val="a"/>
    <w:pPr>
      <w:tabs>
        <w:tab w:val="center" w:pos="4536"/>
        <w:tab w:val="right" w:pos="9072"/>
      </w:tabs>
    </w:pPr>
  </w:style>
  <w:style w:type="paragraph" w:styleId="afc">
    <w:name w:val="footer"/>
    <w:basedOn w:val="a"/>
    <w:pPr>
      <w:tabs>
        <w:tab w:val="center" w:pos="4536"/>
        <w:tab w:val="right" w:pos="9072"/>
      </w:tabs>
      <w:jc w:val="right"/>
    </w:pPr>
    <w:rPr>
      <w:sz w:val="16"/>
    </w:rPr>
  </w:style>
  <w:style w:type="paragraph" w:styleId="afd">
    <w:name w:val="footnote text"/>
    <w:uiPriority w:val="99"/>
    <w:semiHidden/>
    <w:unhideWhenUsed/>
    <w:pPr>
      <w:spacing w:after="40"/>
    </w:pPr>
    <w:rPr>
      <w:sz w:val="18"/>
    </w:rPr>
  </w:style>
  <w:style w:type="paragraph" w:styleId="12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1">
    <w:name w:val="toc 3"/>
    <w:uiPriority w:val="39"/>
    <w:unhideWhenUsed/>
    <w:pPr>
      <w:spacing w:after="57"/>
      <w:ind w:left="567"/>
    </w:pPr>
  </w:style>
  <w:style w:type="paragraph" w:styleId="42">
    <w:name w:val="toc 4"/>
    <w:uiPriority w:val="39"/>
    <w:unhideWhenUsed/>
    <w:pPr>
      <w:spacing w:after="57"/>
      <w:ind w:left="850"/>
    </w:pPr>
  </w:style>
  <w:style w:type="paragraph" w:styleId="51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2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paragraph" w:styleId="afe">
    <w:name w:val="TOC Heading"/>
    <w:uiPriority w:val="39"/>
    <w:unhideWhenUsed/>
    <w:qFormat/>
  </w:style>
  <w:style w:type="paragraph" w:customStyle="1" w:styleId="13">
    <w:name w:val="Указатель1"/>
    <w:basedOn w:val="a"/>
    <w:qFormat/>
    <w:rPr>
      <w:rFonts w:ascii="PT Sans" w:hAnsi="PT Sans"/>
    </w:rPr>
  </w:style>
  <w:style w:type="paragraph" w:styleId="aff">
    <w:name w:val="Body Text Indent"/>
    <w:basedOn w:val="a"/>
    <w:pPr>
      <w:spacing w:before="60"/>
      <w:ind w:left="284" w:firstLine="284"/>
      <w:jc w:val="both"/>
    </w:pPr>
    <w:rPr>
      <w:szCs w:val="20"/>
    </w:rPr>
  </w:style>
  <w:style w:type="paragraph" w:styleId="aff0">
    <w:name w:val="Signature"/>
    <w:basedOn w:val="a"/>
    <w:next w:val="a"/>
    <w:pPr>
      <w:tabs>
        <w:tab w:val="left" w:pos="6237"/>
      </w:tabs>
      <w:spacing w:before="600"/>
      <w:ind w:left="1276"/>
    </w:pPr>
  </w:style>
  <w:style w:type="paragraph" w:customStyle="1" w:styleId="14">
    <w:name w:val="Стиль1"/>
    <w:basedOn w:val="a"/>
    <w:qFormat/>
    <w:pPr>
      <w:spacing w:before="120"/>
      <w:jc w:val="both"/>
    </w:pPr>
    <w:rPr>
      <w:sz w:val="18"/>
      <w:szCs w:val="18"/>
    </w:rPr>
  </w:style>
  <w:style w:type="paragraph" w:customStyle="1" w:styleId="24">
    <w:name w:val="Стиль2"/>
    <w:basedOn w:val="14"/>
    <w:qFormat/>
    <w:pPr>
      <w:spacing w:before="60"/>
    </w:pPr>
  </w:style>
  <w:style w:type="paragraph" w:customStyle="1" w:styleId="15">
    <w:name w:val="Перечень рисунков1"/>
    <w:basedOn w:val="a"/>
    <w:next w:val="a"/>
    <w:qFormat/>
    <w:pPr>
      <w:ind w:left="480" w:hanging="480"/>
    </w:pPr>
  </w:style>
  <w:style w:type="paragraph" w:customStyle="1" w:styleId="32">
    <w:name w:val="Стиль3"/>
    <w:basedOn w:val="a"/>
    <w:qFormat/>
    <w:pPr>
      <w:jc w:val="both"/>
    </w:pPr>
  </w:style>
  <w:style w:type="paragraph" w:customStyle="1" w:styleId="43">
    <w:name w:val="Стиль4"/>
    <w:basedOn w:val="a"/>
    <w:qFormat/>
    <w:pPr>
      <w:tabs>
        <w:tab w:val="left" w:pos="0"/>
      </w:tabs>
      <w:spacing w:before="60"/>
      <w:jc w:val="both"/>
    </w:pPr>
  </w:style>
  <w:style w:type="paragraph" w:customStyle="1" w:styleId="110">
    <w:name w:val="Стиль11"/>
    <w:basedOn w:val="a"/>
    <w:qFormat/>
    <w:pPr>
      <w:spacing w:before="120"/>
      <w:jc w:val="both"/>
    </w:pPr>
  </w:style>
  <w:style w:type="paragraph" w:customStyle="1" w:styleId="610">
    <w:name w:val="Заголовок 6_1"/>
    <w:basedOn w:val="a"/>
    <w:qFormat/>
    <w:pPr>
      <w:keepNext/>
      <w:spacing w:before="240"/>
      <w:ind w:left="1134" w:hanging="567"/>
    </w:pPr>
    <w:rPr>
      <w:b/>
      <w:sz w:val="24"/>
      <w:szCs w:val="24"/>
    </w:rPr>
  </w:style>
  <w:style w:type="paragraph" w:styleId="aff1">
    <w:name w:val="Balloon Text"/>
    <w:basedOn w:val="a"/>
    <w:qFormat/>
    <w:rPr>
      <w:rFonts w:ascii="Tahoma" w:hAnsi="Tahoma"/>
      <w:sz w:val="16"/>
      <w:szCs w:val="16"/>
      <w:lang w:val="en-US"/>
    </w:rPr>
  </w:style>
  <w:style w:type="paragraph" w:customStyle="1" w:styleId="aff2">
    <w:name w:val="Содержимое врезки"/>
    <w:basedOn w:val="a"/>
    <w:qFormat/>
  </w:style>
  <w:style w:type="paragraph" w:styleId="aff3">
    <w:name w:val="annotation text"/>
    <w:basedOn w:val="a"/>
    <w:semiHidden/>
    <w:qFormat/>
  </w:style>
  <w:style w:type="paragraph" w:styleId="aff4">
    <w:name w:val="annotation subject"/>
    <w:basedOn w:val="aff3"/>
    <w:next w:val="aff3"/>
    <w:semiHidden/>
    <w:qFormat/>
    <w:rPr>
      <w:b/>
      <w:bCs/>
    </w:rPr>
  </w:style>
  <w:style w:type="table" w:styleId="aff5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ru-RU" w:eastAsia="en-US" w:bidi="en-US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keepLines/>
      <w:spacing w:after="360"/>
      <w:jc w:val="center"/>
      <w:outlineLvl w:val="0"/>
    </w:pPr>
    <w:rPr>
      <w:rFonts w:ascii="Arial" w:hAnsi="Arial"/>
      <w:b/>
      <w:sz w:val="28"/>
    </w:rPr>
  </w:style>
  <w:style w:type="paragraph" w:styleId="2">
    <w:name w:val="heading 2"/>
    <w:basedOn w:val="a"/>
    <w:next w:val="a0"/>
    <w:qFormat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</w:rPr>
  </w:style>
  <w:style w:type="paragraph" w:styleId="3">
    <w:name w:val="heading 3"/>
    <w:basedOn w:val="a"/>
    <w:next w:val="4"/>
    <w:link w:val="30"/>
    <w:qFormat/>
    <w:pPr>
      <w:keepNext/>
      <w:keepLines/>
      <w:numPr>
        <w:ilvl w:val="2"/>
        <w:numId w:val="1"/>
      </w:numPr>
      <w:spacing w:before="360"/>
      <w:outlineLvl w:val="2"/>
    </w:pPr>
    <w:rPr>
      <w:b/>
      <w:sz w:val="28"/>
    </w:rPr>
  </w:style>
  <w:style w:type="paragraph" w:styleId="4">
    <w:name w:val="heading 4"/>
    <w:basedOn w:val="a"/>
    <w:next w:val="a0"/>
    <w:link w:val="41"/>
    <w:qFormat/>
    <w:pPr>
      <w:keepNext/>
      <w:keepLines/>
      <w:numPr>
        <w:ilvl w:val="3"/>
        <w:numId w:val="1"/>
      </w:numPr>
      <w:spacing w:before="240"/>
      <w:outlineLvl w:val="3"/>
    </w:pPr>
    <w:rPr>
      <w:b/>
      <w:lang w:val="en-US"/>
    </w:rPr>
  </w:style>
  <w:style w:type="paragraph" w:styleId="5">
    <w:name w:val="heading 5"/>
    <w:basedOn w:val="a"/>
    <w:next w:val="a"/>
    <w:link w:val="50"/>
    <w:qFormat/>
    <w:pPr>
      <w:keepNext/>
      <w:numPr>
        <w:ilvl w:val="4"/>
        <w:numId w:val="1"/>
      </w:numPr>
      <w:spacing w:before="240" w:after="60"/>
      <w:ind w:left="0" w:right="284"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pPr>
      <w:keepNext/>
      <w:spacing w:before="240" w:after="60"/>
      <w:jc w:val="center"/>
      <w:outlineLvl w:val="5"/>
    </w:pPr>
    <w:rPr>
      <w:sz w:val="28"/>
    </w:rPr>
  </w:style>
  <w:style w:type="paragraph" w:styleId="7">
    <w:name w:val="heading 7"/>
    <w:basedOn w:val="a"/>
    <w:next w:val="a"/>
    <w:link w:val="71"/>
    <w:qFormat/>
    <w:pPr>
      <w:keepNext/>
      <w:numPr>
        <w:numId w:val="1"/>
      </w:numPr>
      <w:spacing w:before="240" w:after="60"/>
      <w:jc w:val="center"/>
      <w:outlineLvl w:val="6"/>
    </w:pPr>
    <w:rPr>
      <w:rFonts w:ascii="Arial" w:hAnsi="Arial"/>
      <w:lang w:val="en-US"/>
    </w:rPr>
  </w:style>
  <w:style w:type="paragraph" w:styleId="8">
    <w:name w:val="heading 8"/>
    <w:basedOn w:val="a"/>
    <w:next w:val="a"/>
    <w:link w:val="80"/>
    <w:qFormat/>
    <w:pPr>
      <w:spacing w:after="240" w:line="240" w:lineRule="exact"/>
      <w:ind w:left="4536"/>
      <w:outlineLvl w:val="7"/>
    </w:pPr>
  </w:style>
  <w:style w:type="paragraph" w:styleId="9">
    <w:name w:val="heading 9"/>
    <w:basedOn w:val="a"/>
    <w:next w:val="5"/>
    <w:link w:val="90"/>
    <w:qFormat/>
    <w:pPr>
      <w:keepNext/>
      <w:keepLines/>
      <w:tabs>
        <w:tab w:val="left" w:pos="0"/>
      </w:tabs>
      <w:spacing w:after="120" w:line="240" w:lineRule="exact"/>
      <w:ind w:left="2127" w:hanging="1418"/>
      <w:jc w:val="right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qFormat/>
    <w:rPr>
      <w:sz w:val="48"/>
      <w:szCs w:val="48"/>
    </w:rPr>
  </w:style>
  <w:style w:type="character" w:customStyle="1" w:styleId="SubtitleChar">
    <w:name w:val="Subtitle Char"/>
    <w:basedOn w:val="a1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basedOn w:val="a1"/>
    <w:uiPriority w:val="99"/>
    <w:qFormat/>
  </w:style>
  <w:style w:type="character" w:customStyle="1" w:styleId="CaptionChar">
    <w:name w:val="Caption Char"/>
    <w:uiPriority w:val="99"/>
    <w:qFormat/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10">
    <w:name w:val="Заголовок 1 Знак"/>
    <w:link w:val="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1">
    <w:name w:val="Цитата 2 Знак1"/>
    <w:link w:val="20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1">
    <w:name w:val="Заголовок 4 Знак1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1">
    <w:name w:val="Заголовок 7 Знак1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qFormat/>
  </w:style>
  <w:style w:type="character" w:customStyle="1" w:styleId="a4">
    <w:name w:val="Название Знак"/>
    <w:uiPriority w:val="10"/>
    <w:qFormat/>
    <w:rPr>
      <w:sz w:val="48"/>
      <w:szCs w:val="48"/>
    </w:rPr>
  </w:style>
  <w:style w:type="character" w:customStyle="1" w:styleId="a5">
    <w:name w:val="Подзаголовок Знак"/>
    <w:uiPriority w:val="11"/>
    <w:qFormat/>
    <w:rPr>
      <w:sz w:val="24"/>
      <w:szCs w:val="24"/>
    </w:rPr>
  </w:style>
  <w:style w:type="character" w:customStyle="1" w:styleId="22">
    <w:name w:val="Цитата 2 Знак"/>
    <w:link w:val="22"/>
    <w:uiPriority w:val="29"/>
    <w:qFormat/>
    <w:rPr>
      <w:i/>
    </w:rPr>
  </w:style>
  <w:style w:type="character" w:customStyle="1" w:styleId="a6">
    <w:name w:val="Выделенная цитата Знак"/>
    <w:uiPriority w:val="30"/>
    <w:qFormat/>
    <w:rPr>
      <w:i/>
    </w:rPr>
  </w:style>
  <w:style w:type="character" w:customStyle="1" w:styleId="a7">
    <w:name w:val="Верхний колонтитул Знак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a8">
    <w:name w:val="Нижний колонтитул Знак"/>
    <w:uiPriority w:val="99"/>
    <w:qFormat/>
  </w:style>
  <w:style w:type="character" w:customStyle="1" w:styleId="-">
    <w:name w:val="Интернет-ссылка"/>
    <w:rPr>
      <w:color w:val="000080"/>
      <w:u w:val="single"/>
      <w:lang w:val="en-US" w:eastAsia="en-US" w:bidi="en-US"/>
    </w:rPr>
  </w:style>
  <w:style w:type="character" w:customStyle="1" w:styleId="a9">
    <w:name w:val="Текст сноски Знак"/>
    <w:uiPriority w:val="99"/>
    <w:qFormat/>
    <w:rPr>
      <w:sz w:val="18"/>
    </w:rPr>
  </w:style>
  <w:style w:type="character" w:customStyle="1" w:styleId="aa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Pr>
      <w:vertAlign w:val="superscript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  <w:rPr>
      <w:sz w:val="24"/>
    </w:rPr>
  </w:style>
  <w:style w:type="character" w:customStyle="1" w:styleId="WW8Num1z2">
    <w:name w:val="WW8Num1z2"/>
    <w:qFormat/>
    <w:rPr>
      <w:b/>
      <w:i w:val="0"/>
      <w:sz w:val="28"/>
      <w:szCs w:val="28"/>
    </w:rPr>
  </w:style>
  <w:style w:type="character" w:customStyle="1" w:styleId="WW8Num1z3">
    <w:name w:val="WW8Num1z3"/>
    <w:qFormat/>
    <w:rPr>
      <w:b/>
      <w:i w:val="0"/>
      <w:sz w:val="24"/>
      <w:szCs w:val="24"/>
    </w:rPr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  <w:rPr>
      <w:sz w:val="24"/>
    </w:rPr>
  </w:style>
  <w:style w:type="character" w:customStyle="1" w:styleId="WW8Num2z2">
    <w:name w:val="WW8Num2z2"/>
    <w:qFormat/>
    <w:rPr>
      <w:b/>
      <w:i w:val="0"/>
      <w:sz w:val="28"/>
      <w:szCs w:val="28"/>
    </w:rPr>
  </w:style>
  <w:style w:type="character" w:customStyle="1" w:styleId="WW8Num2z3">
    <w:name w:val="WW8Num2z3"/>
    <w:qFormat/>
    <w:rPr>
      <w:b/>
      <w:i w:val="0"/>
      <w:sz w:val="24"/>
      <w:szCs w:val="24"/>
    </w:rPr>
  </w:style>
  <w:style w:type="character" w:customStyle="1" w:styleId="WW8Num2z7">
    <w:name w:val="WW8Num2z7"/>
    <w:qFormat/>
    <w:rPr>
      <w:b w:val="0"/>
      <w:i w:val="0"/>
      <w:sz w:val="24"/>
      <w:szCs w:val="24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  <w:rPr>
      <w:sz w:val="24"/>
    </w:rPr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Symbol" w:hAnsi="Symbol"/>
    </w:rPr>
  </w:style>
  <w:style w:type="character" w:customStyle="1" w:styleId="WW8Num5z0">
    <w:name w:val="WW8Num5z0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8">
    <w:name w:val="WW8Num2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11">
    <w:name w:val="Заголовок 1 Знак1"/>
    <w:qFormat/>
  </w:style>
  <w:style w:type="character" w:styleId="ab">
    <w:name w:val="page number"/>
    <w:qFormat/>
    <w:rPr>
      <w:sz w:val="24"/>
      <w:szCs w:val="24"/>
    </w:rPr>
  </w:style>
  <w:style w:type="character" w:customStyle="1" w:styleId="70">
    <w:name w:val="Заголовок 7 Знак"/>
    <w:qFormat/>
    <w:rPr>
      <w:rFonts w:ascii="Arial" w:hAnsi="Arial"/>
      <w:sz w:val="24"/>
      <w:lang w:val="en-US"/>
    </w:rPr>
  </w:style>
  <w:style w:type="character" w:customStyle="1" w:styleId="ac">
    <w:name w:val="Основной текст Знак"/>
    <w:qFormat/>
    <w:rPr>
      <w:sz w:val="24"/>
    </w:rPr>
  </w:style>
  <w:style w:type="character" w:customStyle="1" w:styleId="40">
    <w:name w:val="Заголовок 4 Знак"/>
    <w:qFormat/>
    <w:rPr>
      <w:b/>
      <w:sz w:val="24"/>
      <w:lang w:val="en-US"/>
    </w:rPr>
  </w:style>
  <w:style w:type="character" w:customStyle="1" w:styleId="ad">
    <w:name w:val="Текст выноски Знак"/>
    <w:qFormat/>
    <w:rPr>
      <w:rFonts w:ascii="Tahoma" w:hAnsi="Tahoma"/>
      <w:sz w:val="16"/>
      <w:szCs w:val="16"/>
    </w:rPr>
  </w:style>
  <w:style w:type="character" w:styleId="ae">
    <w:name w:val="annotation reference"/>
    <w:semiHidden/>
    <w:qFormat/>
    <w:rPr>
      <w:sz w:val="16"/>
      <w:szCs w:val="16"/>
    </w:rPr>
  </w:style>
  <w:style w:type="character" w:customStyle="1" w:styleId="af">
    <w:name w:val="Текст примечания Знак"/>
    <w:semiHidden/>
    <w:qFormat/>
    <w:rPr>
      <w:lang w:eastAsia="zh-CN"/>
    </w:rPr>
  </w:style>
  <w:style w:type="character" w:customStyle="1" w:styleId="af0">
    <w:name w:val="Тема примечания Знак"/>
    <w:semiHidden/>
    <w:qFormat/>
    <w:rPr>
      <w:b/>
      <w:bCs/>
      <w:lang w:eastAsia="zh-CN"/>
    </w:rPr>
  </w:style>
  <w:style w:type="paragraph" w:customStyle="1" w:styleId="af1">
    <w:name w:val="Заголовок"/>
    <w:basedOn w:val="a"/>
    <w:next w:val="a0"/>
    <w:qFormat/>
    <w:pPr>
      <w:keepNext/>
      <w:spacing w:before="240" w:after="120"/>
    </w:pPr>
    <w:rPr>
      <w:rFonts w:ascii="PT Sans" w:eastAsia="Tahoma" w:hAnsi="PT Sans"/>
      <w:sz w:val="28"/>
      <w:szCs w:val="28"/>
    </w:rPr>
  </w:style>
  <w:style w:type="paragraph" w:styleId="a0">
    <w:name w:val="Body Text"/>
    <w:basedOn w:val="a"/>
    <w:pPr>
      <w:spacing w:before="120"/>
      <w:ind w:firstLine="567"/>
      <w:jc w:val="both"/>
    </w:pPr>
    <w:rPr>
      <w:lang w:val="en-US"/>
    </w:rPr>
  </w:style>
  <w:style w:type="paragraph" w:styleId="af2">
    <w:name w:val="List"/>
    <w:basedOn w:val="a0"/>
    <w:rPr>
      <w:rFonts w:ascii="PT Sans" w:hAnsi="PT Sans"/>
    </w:rPr>
  </w:style>
  <w:style w:type="paragraph" w:styleId="af3">
    <w:name w:val="caption"/>
    <w:basedOn w:val="a"/>
    <w:qFormat/>
    <w:pPr>
      <w:spacing w:before="120" w:after="120"/>
    </w:pPr>
    <w:rPr>
      <w:rFonts w:ascii="PT Sans" w:hAnsi="PT Sans"/>
      <w:i/>
      <w:iCs/>
      <w:sz w:val="24"/>
      <w:szCs w:val="24"/>
    </w:rPr>
  </w:style>
  <w:style w:type="paragraph" w:styleId="af4">
    <w:name w:val="index heading"/>
    <w:basedOn w:val="a"/>
    <w:qFormat/>
    <w:pPr>
      <w:suppressLineNumbers/>
    </w:pPr>
    <w:rPr>
      <w:rFonts w:ascii="PT Sans" w:hAnsi="PT Sans" w:cs="Noto Sans Devanagari"/>
    </w:rPr>
  </w:style>
  <w:style w:type="paragraph" w:styleId="af5">
    <w:name w:val="List Paragraph"/>
    <w:uiPriority w:val="34"/>
    <w:qFormat/>
    <w:pPr>
      <w:ind w:left="720"/>
      <w:contextualSpacing/>
    </w:pPr>
  </w:style>
  <w:style w:type="paragraph" w:styleId="af6">
    <w:name w:val="No Spacing"/>
    <w:uiPriority w:val="1"/>
    <w:qFormat/>
  </w:style>
  <w:style w:type="paragraph" w:styleId="af7">
    <w:name w:val="Title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f8">
    <w:name w:val="Subtitle"/>
    <w:uiPriority w:val="11"/>
    <w:qFormat/>
    <w:pPr>
      <w:spacing w:before="200" w:after="200"/>
    </w:pPr>
    <w:rPr>
      <w:sz w:val="24"/>
      <w:szCs w:val="24"/>
    </w:rPr>
  </w:style>
  <w:style w:type="paragraph" w:styleId="20">
    <w:name w:val="Quote"/>
    <w:link w:val="21"/>
    <w:uiPriority w:val="29"/>
    <w:qFormat/>
    <w:pPr>
      <w:ind w:left="720" w:right="720"/>
    </w:pPr>
    <w:rPr>
      <w:i/>
    </w:rPr>
  </w:style>
  <w:style w:type="paragraph" w:styleId="af9">
    <w:name w:val="Intense Quot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a">
    <w:name w:val="Верхний и нижний колонтитулы"/>
    <w:basedOn w:val="a"/>
    <w:qFormat/>
    <w:pPr>
      <w:tabs>
        <w:tab w:val="center" w:pos="4819"/>
        <w:tab w:val="right" w:pos="9638"/>
      </w:tabs>
    </w:pPr>
  </w:style>
  <w:style w:type="paragraph" w:styleId="afb">
    <w:name w:val="header"/>
    <w:basedOn w:val="a"/>
    <w:pPr>
      <w:tabs>
        <w:tab w:val="center" w:pos="4536"/>
        <w:tab w:val="right" w:pos="9072"/>
      </w:tabs>
    </w:pPr>
  </w:style>
  <w:style w:type="paragraph" w:styleId="afc">
    <w:name w:val="footer"/>
    <w:basedOn w:val="a"/>
    <w:pPr>
      <w:tabs>
        <w:tab w:val="center" w:pos="4536"/>
        <w:tab w:val="right" w:pos="9072"/>
      </w:tabs>
      <w:jc w:val="right"/>
    </w:pPr>
    <w:rPr>
      <w:sz w:val="16"/>
    </w:rPr>
  </w:style>
  <w:style w:type="paragraph" w:styleId="afd">
    <w:name w:val="footnote text"/>
    <w:uiPriority w:val="99"/>
    <w:semiHidden/>
    <w:unhideWhenUsed/>
    <w:pPr>
      <w:spacing w:after="40"/>
    </w:pPr>
    <w:rPr>
      <w:sz w:val="18"/>
    </w:rPr>
  </w:style>
  <w:style w:type="paragraph" w:styleId="12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1">
    <w:name w:val="toc 3"/>
    <w:uiPriority w:val="39"/>
    <w:unhideWhenUsed/>
    <w:pPr>
      <w:spacing w:after="57"/>
      <w:ind w:left="567"/>
    </w:pPr>
  </w:style>
  <w:style w:type="paragraph" w:styleId="42">
    <w:name w:val="toc 4"/>
    <w:uiPriority w:val="39"/>
    <w:unhideWhenUsed/>
    <w:pPr>
      <w:spacing w:after="57"/>
      <w:ind w:left="850"/>
    </w:pPr>
  </w:style>
  <w:style w:type="paragraph" w:styleId="51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2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paragraph" w:styleId="afe">
    <w:name w:val="TOC Heading"/>
    <w:uiPriority w:val="39"/>
    <w:unhideWhenUsed/>
    <w:qFormat/>
  </w:style>
  <w:style w:type="paragraph" w:customStyle="1" w:styleId="13">
    <w:name w:val="Указатель1"/>
    <w:basedOn w:val="a"/>
    <w:qFormat/>
    <w:rPr>
      <w:rFonts w:ascii="PT Sans" w:hAnsi="PT Sans"/>
    </w:rPr>
  </w:style>
  <w:style w:type="paragraph" w:styleId="aff">
    <w:name w:val="Body Text Indent"/>
    <w:basedOn w:val="a"/>
    <w:pPr>
      <w:spacing w:before="60"/>
      <w:ind w:left="284" w:firstLine="284"/>
      <w:jc w:val="both"/>
    </w:pPr>
    <w:rPr>
      <w:szCs w:val="20"/>
    </w:rPr>
  </w:style>
  <w:style w:type="paragraph" w:styleId="aff0">
    <w:name w:val="Signature"/>
    <w:basedOn w:val="a"/>
    <w:next w:val="a"/>
    <w:pPr>
      <w:tabs>
        <w:tab w:val="left" w:pos="6237"/>
      </w:tabs>
      <w:spacing w:before="600"/>
      <w:ind w:left="1276"/>
    </w:pPr>
  </w:style>
  <w:style w:type="paragraph" w:customStyle="1" w:styleId="14">
    <w:name w:val="Стиль1"/>
    <w:basedOn w:val="a"/>
    <w:qFormat/>
    <w:pPr>
      <w:spacing w:before="120"/>
      <w:jc w:val="both"/>
    </w:pPr>
    <w:rPr>
      <w:sz w:val="18"/>
      <w:szCs w:val="18"/>
    </w:rPr>
  </w:style>
  <w:style w:type="paragraph" w:customStyle="1" w:styleId="24">
    <w:name w:val="Стиль2"/>
    <w:basedOn w:val="14"/>
    <w:qFormat/>
    <w:pPr>
      <w:spacing w:before="60"/>
    </w:pPr>
  </w:style>
  <w:style w:type="paragraph" w:customStyle="1" w:styleId="15">
    <w:name w:val="Перечень рисунков1"/>
    <w:basedOn w:val="a"/>
    <w:next w:val="a"/>
    <w:qFormat/>
    <w:pPr>
      <w:ind w:left="480" w:hanging="480"/>
    </w:pPr>
  </w:style>
  <w:style w:type="paragraph" w:customStyle="1" w:styleId="32">
    <w:name w:val="Стиль3"/>
    <w:basedOn w:val="a"/>
    <w:qFormat/>
    <w:pPr>
      <w:jc w:val="both"/>
    </w:pPr>
  </w:style>
  <w:style w:type="paragraph" w:customStyle="1" w:styleId="43">
    <w:name w:val="Стиль4"/>
    <w:basedOn w:val="a"/>
    <w:qFormat/>
    <w:pPr>
      <w:tabs>
        <w:tab w:val="left" w:pos="0"/>
      </w:tabs>
      <w:spacing w:before="60"/>
      <w:jc w:val="both"/>
    </w:pPr>
  </w:style>
  <w:style w:type="paragraph" w:customStyle="1" w:styleId="110">
    <w:name w:val="Стиль11"/>
    <w:basedOn w:val="a"/>
    <w:qFormat/>
    <w:pPr>
      <w:spacing w:before="120"/>
      <w:jc w:val="both"/>
    </w:pPr>
  </w:style>
  <w:style w:type="paragraph" w:customStyle="1" w:styleId="610">
    <w:name w:val="Заголовок 6_1"/>
    <w:basedOn w:val="a"/>
    <w:qFormat/>
    <w:pPr>
      <w:keepNext/>
      <w:spacing w:before="240"/>
      <w:ind w:left="1134" w:hanging="567"/>
    </w:pPr>
    <w:rPr>
      <w:b/>
      <w:sz w:val="24"/>
      <w:szCs w:val="24"/>
    </w:rPr>
  </w:style>
  <w:style w:type="paragraph" w:styleId="aff1">
    <w:name w:val="Balloon Text"/>
    <w:basedOn w:val="a"/>
    <w:qFormat/>
    <w:rPr>
      <w:rFonts w:ascii="Tahoma" w:hAnsi="Tahoma"/>
      <w:sz w:val="16"/>
      <w:szCs w:val="16"/>
      <w:lang w:val="en-US"/>
    </w:rPr>
  </w:style>
  <w:style w:type="paragraph" w:customStyle="1" w:styleId="aff2">
    <w:name w:val="Содержимое врезки"/>
    <w:basedOn w:val="a"/>
    <w:qFormat/>
  </w:style>
  <w:style w:type="paragraph" w:styleId="aff3">
    <w:name w:val="annotation text"/>
    <w:basedOn w:val="a"/>
    <w:semiHidden/>
    <w:qFormat/>
  </w:style>
  <w:style w:type="paragraph" w:styleId="aff4">
    <w:name w:val="annotation subject"/>
    <w:basedOn w:val="aff3"/>
    <w:next w:val="aff3"/>
    <w:semiHidden/>
    <w:qFormat/>
    <w:rPr>
      <w:b/>
      <w:bCs/>
    </w:rPr>
  </w:style>
  <w:style w:type="table" w:styleId="aff5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1824</Words>
  <Characters>10399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15</cp:revision>
  <dcterms:created xsi:type="dcterms:W3CDTF">2025-08-27T13:48:00Z</dcterms:created>
  <dcterms:modified xsi:type="dcterms:W3CDTF">2025-09-04T10:36:00Z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