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rPr>
          <w:b/>
        </w:rPr>
      </w:pPr>
      <w:r>
        <w:rPr>
          <w:b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СЕЛЬСКОГО ХОЗЯЙСТВА</w:t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 ПЕНЗЕНСКОЙ ОБЛАСТИ</w:t>
      </w:r>
      <w:r/>
    </w:p>
    <w:p>
      <w:pPr>
        <w:jc w:val="center"/>
        <w:rPr>
          <w:sz w:val="28"/>
        </w:rPr>
      </w:pPr>
      <w:r>
        <w:rPr>
          <w:sz w:val="28"/>
        </w:rPr>
      </w:r>
      <w:r/>
    </w:p>
    <w:p>
      <w:pPr>
        <w:jc w:val="center"/>
        <w:keepNext/>
        <w:rPr>
          <w:b/>
          <w:sz w:val="36"/>
          <w:szCs w:val="36"/>
        </w:rPr>
        <w:outlineLvl w:val="0"/>
      </w:pPr>
      <w:r>
        <w:rPr>
          <w:b/>
          <w:sz w:val="36"/>
          <w:szCs w:val="36"/>
        </w:rPr>
        <w:t xml:space="preserve">П</w:t>
      </w:r>
      <w:r>
        <w:rPr>
          <w:b/>
          <w:sz w:val="36"/>
          <w:szCs w:val="36"/>
        </w:rPr>
        <w:t xml:space="preserve"> Р И К А З</w:t>
      </w:r>
      <w:r/>
    </w:p>
    <w:p>
      <w:pPr>
        <w:ind w:firstLine="720"/>
        <w:rPr>
          <w:sz w:val="28"/>
        </w:rPr>
      </w:pPr>
      <w:r>
        <w:rPr>
          <w:sz w:val="28"/>
        </w:rPr>
        <w:t xml:space="preserve">                                                           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 xml:space="preserve">________________________ № ____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Пенза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3" w:type="dxa"/>
            <w:textDirection w:val="lrTb"/>
            <w:noWrap w:val="false"/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952"/>
              <w:gridCol w:w="5241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952" w:type="dxa"/>
                  <w:textDirection w:val="lrTb"/>
                  <w:noWrap w:val="false"/>
                </w:tcPr>
                <w:p>
                  <w:pPr>
                    <w:pStyle w:val="625"/>
                    <w:jc w:val="both"/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</w:rPr>
                    <w:t xml:space="preserve">Об утверждении Доклада с обобщением правоприменительной практики при осуществлении регионального государственного контроля (надзора) в области розничной продажи алкогольной и спиртосодержащей продукции на территории Пензенской области за 2025 год</w:t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241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31"/>
        <w:ind w:firstLine="708"/>
        <w:jc w:val="both"/>
        <w:spacing w:after="0"/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47 Федерального закона от 31.07.2020 </w:t>
      </w:r>
      <w:r>
        <w:rPr>
          <w:sz w:val="28"/>
          <w:szCs w:val="28"/>
          <w:lang w:val="ru-RU"/>
        </w:rPr>
        <w:br/>
        <w:t xml:space="preserve">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Пензенской области 30.12.2021 № 942-п</w:t>
      </w:r>
      <w:r>
        <w:rPr>
          <w:sz w:val="28"/>
          <w:szCs w:val="28"/>
          <w:lang w:val="ru-RU"/>
        </w:rPr>
        <w:t xml:space="preserve">П «Об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 (с последующими изменениям</w:t>
      </w:r>
      <w:r>
        <w:rPr>
          <w:sz w:val="28"/>
          <w:szCs w:val="28"/>
          <w:highlight w:val="white"/>
          <w:lang w:val="ru-RU"/>
        </w:rPr>
        <w:t xml:space="preserve">и), приказом</w:t>
      </w:r>
      <w:r>
        <w:rPr>
          <w:sz w:val="28"/>
          <w:highlight w:val="white"/>
          <w:lang w:val="ru-RU"/>
        </w:rPr>
        <w:t xml:space="preserve"> Министерства сельского хозяйства Пен</w:t>
      </w:r>
      <w:r>
        <w:rPr>
          <w:sz w:val="28"/>
          <w:highlight w:val="white"/>
          <w:lang w:val="ru-RU"/>
        </w:rPr>
        <w:t xml:space="preserve">зенской области от 17.12.2025</w:t>
      </w:r>
      <w:r>
        <w:rPr>
          <w:sz w:val="28"/>
          <w:highlight w:val="white"/>
          <w:lang w:val="ru-RU"/>
        </w:rPr>
        <w:t xml:space="preserve">  № 684 «Об утверждении программы профилактики нарушений лицензионных требований, соблюдение которых оценивается при осуществлении регионального государственного лицензионного </w:t>
      </w:r>
      <w:r>
        <w:rPr>
          <w:sz w:val="28"/>
          <w:highlight w:val="white"/>
          <w:lang w:val="ru-RU"/>
        </w:rPr>
        <w:t xml:space="preserve">контроля за</w:t>
      </w:r>
      <w:r>
        <w:rPr>
          <w:sz w:val="28"/>
          <w:highlight w:val="white"/>
          <w:lang w:val="ru-RU"/>
        </w:rPr>
        <w:t xml:space="preserve"> соблюдением лицензионных требований в о</w:t>
      </w:r>
      <w:r>
        <w:rPr>
          <w:sz w:val="28"/>
          <w:highlight w:val="white"/>
          <w:lang w:val="ru-RU"/>
        </w:rPr>
        <w:t xml:space="preserve">бласти розничной продажи алкогольной и спиртосодержащей продукции на территории Пензенской области на 2026 год»,</w:t>
      </w:r>
      <w:r>
        <w:rPr>
          <w:sz w:val="28"/>
          <w:szCs w:val="28"/>
          <w:highlight w:val="white"/>
          <w:lang w:val="ru-RU"/>
        </w:rPr>
        <w:t xml:space="preserve"> руководствуясь постановлением Правительства Пензенской области от </w:t>
      </w:r>
      <w:r>
        <w:rPr>
          <w:sz w:val="28"/>
          <w:szCs w:val="28"/>
          <w:lang w:val="ru-RU"/>
        </w:rPr>
        <w:t xml:space="preserve">10.02.2009 № 99-пП «Об утверждении Положения о Министерстве сельского хозяйст</w:t>
      </w:r>
      <w:r>
        <w:rPr>
          <w:sz w:val="28"/>
          <w:szCs w:val="28"/>
          <w:lang w:val="ru-RU"/>
        </w:rPr>
        <w:t xml:space="preserve">ва Пензенской области» (с последующими изменениями),</w:t>
      </w:r>
      <w:r/>
    </w:p>
    <w:p>
      <w:pPr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 Р И К А З Ы В А Ю:</w:t>
      </w:r>
      <w:r/>
    </w:p>
    <w:p>
      <w:pPr>
        <w:pStyle w:val="61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</w:t>
      </w:r>
      <w:r>
        <w:rPr>
          <w:bCs/>
          <w:sz w:val="28"/>
          <w:szCs w:val="28"/>
        </w:rPr>
        <w:t xml:space="preserve">Доклад с обобщением правоприменительной практики при осуществлении регионального государственного контроля </w:t>
      </w:r>
      <w:r>
        <w:rPr>
          <w:bCs/>
          <w:sz w:val="28"/>
          <w:szCs w:val="28"/>
        </w:rPr>
        <w:t xml:space="preserve">(надзора) в области розничной продажи алкогольной и спиртосодержащей продукции на территории Пензенской области за 2025 год</w:t>
      </w:r>
      <w:r>
        <w:rPr>
          <w:sz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 xml:space="preserve">Настоящий приказ разместить на официальном сайте Министерства сельского хозяйства Пензенской области в информационно – телекомму</w:t>
      </w:r>
      <w:r>
        <w:rPr>
          <w:sz w:val="28"/>
          <w:szCs w:val="28"/>
        </w:rPr>
        <w:t xml:space="preserve">никационной сети «Интернет» (</w:t>
      </w:r>
      <w:r>
        <w:rPr>
          <w:sz w:val="28"/>
          <w:szCs w:val="28"/>
          <w:lang w:val="en-US"/>
        </w:rPr>
        <w:t xml:space="preserve">https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mcx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pnzreg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настоящего приказа возложить на заместителя Министра - начальника управления рынка продовольствия и лицензирования Министерства сельского хозяйства Пензенской области.</w:t>
      </w:r>
      <w:r/>
    </w:p>
    <w:p>
      <w:pPr>
        <w:ind w:firstLine="708"/>
        <w:jc w:val="both"/>
        <w:rPr>
          <w:color w:val="FF0000"/>
          <w:sz w:val="28"/>
        </w:rPr>
      </w:pPr>
      <w:r>
        <w:rPr>
          <w:color w:val="FF0000"/>
          <w:sz w:val="28"/>
        </w:rPr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201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  <w:t xml:space="preserve">Первый заместитель Министра</w:t>
      </w:r>
      <w:r>
        <w:rPr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 w:eastAsia="Times New Roman"/>
          <w:sz w:val="28"/>
        </w:rPr>
        <w:t xml:space="preserve">Э.Н. Каташов</w:t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rPr>
          <w:sz w:val="26"/>
        </w:rPr>
      </w:pPr>
      <w:r>
        <w:rPr>
          <w:sz w:val="26"/>
        </w:rPr>
        <w:br w:type="page"/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Утвержден</w:t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приказом Министерства сельского</w:t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 хозяйства Пензенской области</w:t>
      </w:r>
      <w:r/>
    </w:p>
    <w:p>
      <w:pPr>
        <w:jc w:val="center"/>
        <w:tabs>
          <w:tab w:val="left" w:pos="2325" w:leader="none"/>
        </w:tabs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от ________________ № _____</w:t>
      </w:r>
      <w:r/>
    </w:p>
    <w:p>
      <w:pPr>
        <w:jc w:val="right"/>
      </w:pPr>
      <w:r/>
      <w:r/>
    </w:p>
    <w:p>
      <w:pPr>
        <w:jc w:val="center"/>
      </w:pPr>
      <w:r/>
      <w:r/>
    </w:p>
    <w:p>
      <w:pPr>
        <w:jc w:val="center"/>
      </w:pPr>
      <w:r>
        <w:rPr>
          <w:b/>
          <w:bCs/>
          <w:sz w:val="28"/>
          <w:szCs w:val="28"/>
        </w:rPr>
        <w:t xml:space="preserve">ДОКЛАД</w:t>
      </w:r>
      <w:r/>
    </w:p>
    <w:p>
      <w:pPr>
        <w:jc w:val="center"/>
      </w:pPr>
      <w:r>
        <w:rPr>
          <w:bCs/>
          <w:sz w:val="28"/>
          <w:szCs w:val="28"/>
        </w:rPr>
        <w:t xml:space="preserve">с обобщением правоприменительной практики при осуществлении регионального государственного контроля (надзора) в области розничной продажи алкогольной и спиртосодержащей продукции на территории Пензенской области за 2025</w:t>
      </w:r>
      <w:r>
        <w:rPr>
          <w:bCs/>
          <w:sz w:val="28"/>
          <w:szCs w:val="28"/>
        </w:rPr>
        <w:t xml:space="preserve"> год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Общие положения</w:t>
      </w:r>
      <w:r/>
    </w:p>
    <w:p>
      <w:pPr>
        <w:ind w:firstLine="709"/>
        <w:jc w:val="both"/>
      </w:pPr>
      <w:r/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Настоящий доклад подготовлен управлением рынка продовольствия и лицензирования Министерства сельского хозяйства Пензенской области (далее – Управле</w:t>
      </w:r>
      <w:r>
        <w:rPr>
          <w:sz w:val="28"/>
          <w:szCs w:val="28"/>
        </w:rPr>
        <w:t xml:space="preserve">ние, Министерство) в соответствии с полномочиями по осуществлению </w:t>
      </w:r>
      <w:r>
        <w:rPr>
          <w:bCs/>
          <w:sz w:val="28"/>
          <w:szCs w:val="28"/>
        </w:rPr>
        <w:t xml:space="preserve">регионального госуд</w:t>
      </w:r>
      <w:r>
        <w:rPr>
          <w:bCs/>
          <w:sz w:val="28"/>
          <w:szCs w:val="28"/>
        </w:rPr>
        <w:t xml:space="preserve">арственного контроля (надзора) в области розничной продажи алкогольной и спиртосодержащей продукции на территории Пензенской области</w:t>
      </w:r>
      <w:r>
        <w:rPr>
          <w:sz w:val="28"/>
          <w:szCs w:val="28"/>
        </w:rPr>
        <w:t xml:space="preserve">  (далее – Надзор).</w:t>
      </w:r>
      <w:r/>
    </w:p>
    <w:p>
      <w:pPr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Управление осуществляет свои полномочия согласно постановлению Правительства Пензенской области от 10.02</w:t>
      </w:r>
      <w:r>
        <w:rPr>
          <w:sz w:val="28"/>
          <w:szCs w:val="28"/>
        </w:rPr>
        <w:t xml:space="preserve">.2009 № 99-пП «Об утверждении Положения о Министерстве сельского хозяйства Пензенской области» (с последующими изменениями)</w:t>
      </w:r>
      <w:r>
        <w:rPr>
          <w:color w:val="000000"/>
          <w:sz w:val="28"/>
          <w:szCs w:val="28"/>
        </w:rPr>
        <w:t xml:space="preserve">. 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Основными задачами Управления являются предупреждение, выявление и пресечение нарушений юридическими лицами, индивидуальными предп</w:t>
      </w:r>
      <w:r>
        <w:rPr>
          <w:color w:val="000000"/>
          <w:sz w:val="28"/>
          <w:szCs w:val="28"/>
        </w:rPr>
        <w:t xml:space="preserve">ринимателями установленных законодательством Российской Федерации обязательных требований в процессе </w:t>
      </w:r>
      <w:r>
        <w:rPr>
          <w:sz w:val="28"/>
          <w:szCs w:val="28"/>
        </w:rPr>
        <w:t xml:space="preserve">осуществления </w:t>
      </w:r>
      <w:r>
        <w:rPr>
          <w:bCs/>
          <w:sz w:val="28"/>
          <w:szCs w:val="28"/>
        </w:rPr>
        <w:t xml:space="preserve">розничной продажи алкогольной и спиртосодержащей продукции</w:t>
      </w:r>
      <w:r>
        <w:rPr>
          <w:color w:val="000000"/>
          <w:sz w:val="28"/>
          <w:szCs w:val="28"/>
        </w:rPr>
        <w:t xml:space="preserve">.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рамках осуществления Надзора Управление руководствуется следующими нормативными правовыми актами: </w:t>
      </w:r>
      <w:r/>
    </w:p>
    <w:p>
      <w:pPr>
        <w:numPr>
          <w:ilvl w:val="0"/>
          <w:numId w:val="9"/>
        </w:numPr>
        <w:ind w:left="0" w:firstLine="349"/>
        <w:jc w:val="both"/>
      </w:pPr>
      <w:r>
        <w:rPr>
          <w:color w:val="000000"/>
          <w:sz w:val="28"/>
          <w:szCs w:val="28"/>
        </w:rPr>
        <w:t xml:space="preserve">Федеральным законом </w:t>
      </w:r>
      <w:r>
        <w:rPr>
          <w:color w:val="000000"/>
          <w:sz w:val="28"/>
          <w:szCs w:val="28"/>
          <w:highlight w:val="white"/>
        </w:rPr>
        <w:t xml:space="preserve">от 22.11.1995</w:t>
      </w:r>
      <w:r>
        <w:rPr>
          <w:color w:val="000000"/>
          <w:sz w:val="28"/>
          <w:szCs w:val="28"/>
        </w:rPr>
        <w:t xml:space="preserve"> № 171-</w:t>
      </w:r>
      <w:r>
        <w:rPr>
          <w:color w:val="000000"/>
          <w:sz w:val="28"/>
          <w:szCs w:val="28"/>
          <w:highlight w:val="white"/>
        </w:rPr>
        <w:t xml:space="preserve">ФЗ</w:t>
      </w:r>
      <w:r>
        <w:rPr>
          <w:color w:val="000000"/>
          <w:sz w:val="28"/>
          <w:szCs w:val="28"/>
        </w:rPr>
        <w:t xml:space="preserve"> «О государственном регулировании производства и оборота этилового спирта, алкогольной и спиртосодержащей продукции </w:t>
      </w:r>
      <w:r>
        <w:rPr>
          <w:color w:val="000000"/>
          <w:sz w:val="28"/>
          <w:szCs w:val="28"/>
        </w:rPr>
        <w:t xml:space="preserve">и об ограничении потребления (распития) алкогольной продукции»;</w:t>
      </w:r>
      <w:r/>
    </w:p>
    <w:p>
      <w:pPr>
        <w:numPr>
          <w:ilvl w:val="0"/>
          <w:numId w:val="9"/>
        </w:numPr>
        <w:ind w:left="0" w:firstLine="567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Федеральным законом</w:t>
      </w:r>
      <w:r>
        <w:rPr>
          <w:sz w:val="28"/>
          <w:szCs w:val="28"/>
          <w:shd w:val="clear" w:color="auto" w:fill="FFFFFF"/>
        </w:rPr>
        <w:t xml:space="preserve"> от 31.07.2020 № 248-ФЗ «</w:t>
      </w:r>
      <w:r>
        <w:rPr>
          <w:color w:val="000000"/>
          <w:sz w:val="28"/>
          <w:szCs w:val="28"/>
        </w:rPr>
        <w:t xml:space="preserve">О государственном контроле (надзоре) и муниципальном контроле в Российской Федерации»;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Правительства РФ от 31.12.2020 № 2466 «</w:t>
      </w:r>
      <w:r>
        <w:rPr>
          <w:color w:val="000000"/>
          <w:sz w:val="28"/>
          <w:szCs w:val="28"/>
        </w:rPr>
        <w:t xml:space="preserve">О ведении и функционировании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Постановлением Правительства РФ от 10.03.2022 № 336 «Об особеннос</w:t>
      </w:r>
      <w:r>
        <w:rPr>
          <w:sz w:val="28"/>
          <w:szCs w:val="28"/>
          <w:shd w:val="clear" w:color="auto" w:fill="FFFFFF"/>
        </w:rPr>
        <w:t xml:space="preserve">тях организации и осуществления государственного контроля (надзора), муниципального контроля»</w:t>
      </w:r>
      <w:r>
        <w:rPr>
          <w:sz w:val="28"/>
          <w:szCs w:val="28"/>
        </w:rPr>
        <w:t xml:space="preserve"> (далее – Постановление № 336)</w:t>
      </w:r>
      <w:r>
        <w:rPr>
          <w:sz w:val="28"/>
          <w:szCs w:val="28"/>
          <w:shd w:val="clear" w:color="auto" w:fill="FFFFFF"/>
        </w:rPr>
        <w:t xml:space="preserve">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Постановлением Правительства РФ от 23.12.2020 № 2220 «Об утверждении Правил определения органами местного самоуправления границ при</w:t>
      </w:r>
      <w:r>
        <w:rPr>
          <w:sz w:val="28"/>
          <w:szCs w:val="28"/>
          <w:shd w:val="clear" w:color="auto" w:fill="FFFFFF"/>
        </w:rPr>
        <w:t xml:space="preserve">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Постановлением Правительства РФ от 29.12.2020 № 2348 «О маркировке алкогольной проду</w:t>
      </w:r>
      <w:r>
        <w:rPr>
          <w:sz w:val="28"/>
          <w:szCs w:val="28"/>
          <w:shd w:val="clear" w:color="auto" w:fill="FFFFFF"/>
        </w:rPr>
        <w:t xml:space="preserve">кции федеральными специальными марками»;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Постановлением Правительства РФ от 30.11.2022 № 2173 «Об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и особеннос</w:t>
      </w:r>
      <w:r>
        <w:rPr>
          <w:sz w:val="28"/>
          <w:szCs w:val="28"/>
          <w:shd w:val="clear" w:color="auto" w:fill="FFFFFF"/>
        </w:rPr>
        <w:t xml:space="preserve">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shd w:val="clear" w:color="auto" w:fill="FFFFFF"/>
        </w:rPr>
        <w:t xml:space="preserve">Пос</w:t>
      </w:r>
      <w:r>
        <w:rPr>
          <w:sz w:val="28"/>
          <w:szCs w:val="28"/>
          <w:highlight w:val="white"/>
          <w:shd w:val="clear" w:color="auto" w:fill="FFFFFF"/>
        </w:rPr>
        <w:t xml:space="preserve">тановлением Правительства РФ от 23.12.2020 № 2232 «Об утверждении Правил представления уведомления о заказчике, дате, времени и месте осуществления розничной продажи алкогольной продукции при оказании услуг общественного питания в условиях выездного обслуж</w:t>
      </w:r>
      <w:r>
        <w:rPr>
          <w:sz w:val="28"/>
          <w:szCs w:val="28"/>
          <w:highlight w:val="white"/>
          <w:shd w:val="clear" w:color="auto" w:fill="FFFFFF"/>
        </w:rPr>
        <w:t xml:space="preserve">ивания организациями, имеющими лицензию на розничную продажу алкогольной продукции при оказании услуг общественного питания»;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shd w:val="clear" w:color="auto" w:fill="FFFFFF"/>
        </w:rPr>
        <w:t xml:space="preserve">Приказом </w:t>
      </w:r>
      <w:r>
        <w:rPr>
          <w:sz w:val="28"/>
          <w:szCs w:val="28"/>
          <w:shd w:val="clear" w:color="auto" w:fill="FFFFFF"/>
        </w:rPr>
        <w:t xml:space="preserve">Минфина России от 18.12.2025 № 181н «Об установлении цен, не ниже которых осуществляются закупка (за исключением импорта)</w:t>
      </w:r>
      <w:r>
        <w:rPr>
          <w:sz w:val="28"/>
          <w:szCs w:val="28"/>
          <w:shd w:val="clear" w:color="auto" w:fill="FFFFFF"/>
        </w:rPr>
        <w:t xml:space="preserve">, поставки (за исключением экспорта) и розничная продажа алкогольной продукции крепостью свыше 28 процентов»;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Приказом Минфина России от 18.12.2025 № 180н «Об установлении цены, не ниже которой осуществляются закупка (за исключением импорта), поставки (за </w:t>
      </w:r>
      <w:r>
        <w:rPr>
          <w:sz w:val="28"/>
          <w:szCs w:val="28"/>
          <w:shd w:val="clear" w:color="auto" w:fill="FFFFFF"/>
        </w:rPr>
        <w:t xml:space="preserve">исключением экспорта) этилового спирта, произведенного из непищевого сырья, и денатурированного этилового спирта, произведенного из пищевого и непищевого сырья (за исключением </w:t>
      </w:r>
      <w:r>
        <w:rPr>
          <w:sz w:val="28"/>
          <w:szCs w:val="28"/>
          <w:shd w:val="clear" w:color="auto" w:fill="FFFFFF"/>
        </w:rPr>
        <w:t xml:space="preserve">биоэтанола</w:t>
      </w:r>
      <w:r>
        <w:rPr>
          <w:sz w:val="28"/>
          <w:szCs w:val="28"/>
          <w:shd w:val="clear" w:color="auto" w:fill="FFFFFF"/>
        </w:rPr>
        <w:t xml:space="preserve">)»;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Приказом </w:t>
      </w:r>
      <w:r>
        <w:rPr>
          <w:sz w:val="28"/>
          <w:szCs w:val="28"/>
          <w:shd w:val="clear" w:color="auto" w:fill="FFFFFF"/>
        </w:rPr>
        <w:t xml:space="preserve">Росалкогольрегулирования</w:t>
      </w:r>
      <w:r>
        <w:rPr>
          <w:sz w:val="28"/>
          <w:szCs w:val="28"/>
          <w:shd w:val="clear" w:color="auto" w:fill="FFFFFF"/>
        </w:rPr>
        <w:t xml:space="preserve"> от 17.12.2020 № 401 «Об утвержде</w:t>
      </w:r>
      <w:r>
        <w:rPr>
          <w:sz w:val="28"/>
          <w:szCs w:val="28"/>
          <w:shd w:val="clear" w:color="auto" w:fill="FFFFFF"/>
        </w:rPr>
        <w:t xml:space="preserve">нии образцов, перечня реквизитов и элементов защиты федеральных специальных марок для маркировки алкогольной продукции»;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Приказом </w:t>
      </w:r>
      <w:r>
        <w:rPr>
          <w:sz w:val="28"/>
          <w:szCs w:val="28"/>
          <w:shd w:val="clear" w:color="auto" w:fill="FFFFFF"/>
        </w:rPr>
        <w:t xml:space="preserve">Росалкогольрегулирования</w:t>
      </w:r>
      <w:r>
        <w:rPr>
          <w:sz w:val="28"/>
          <w:szCs w:val="28"/>
          <w:shd w:val="clear" w:color="auto" w:fill="FFFFFF"/>
        </w:rPr>
        <w:t xml:space="preserve"> от 17.12.2020 № 397 «Об утверждении форм, порядка заполнения, форматов и сроков представления в элект</w:t>
      </w:r>
      <w:r>
        <w:rPr>
          <w:sz w:val="28"/>
          <w:szCs w:val="28"/>
          <w:shd w:val="clear" w:color="auto" w:fill="FFFFFF"/>
        </w:rPr>
        <w:t xml:space="preserve">ронном виде заявок о фиксации информации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Законом Пензенской области от 24.04.2024 № 4233-ЗПО</w:t>
      </w:r>
      <w:r>
        <w:rPr>
          <w:sz w:val="28"/>
          <w:szCs w:val="28"/>
          <w:shd w:val="clear" w:color="auto" w:fill="FFFFFF"/>
        </w:rPr>
        <w:t xml:space="preserve"> «О некоторых вопросах, связанных с реализацией в Пензенской области отдельных </w:t>
      </w:r>
      <w:r>
        <w:rPr>
          <w:sz w:val="28"/>
          <w:szCs w:val="28"/>
          <w:shd w:val="clear" w:color="auto" w:fill="FFFFFF"/>
        </w:rPr>
        <w:t xml:space="preserve">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</w:t>
      </w:r>
      <w:r>
        <w:rPr>
          <w:sz w:val="28"/>
          <w:szCs w:val="28"/>
          <w:shd w:val="clear" w:color="auto" w:fill="FFFFFF"/>
        </w:rPr>
        <w:t xml:space="preserve">и об ограничении потребления (распития) алкогольной продукции»;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Постановлением Правительства Пензенской области от 20.04.2023 № 309-пП «Об определении мест нахождения источников повышенной опасности и мест массового скопления граждан на территории Пензенск</w:t>
      </w:r>
      <w:r>
        <w:rPr>
          <w:sz w:val="28"/>
          <w:szCs w:val="28"/>
          <w:shd w:val="clear" w:color="auto" w:fill="FFFFFF"/>
        </w:rPr>
        <w:t xml:space="preserve">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питания, и признании утратившими силу отдельных нормативных правовых актов Правительства Пензенской обла</w:t>
      </w:r>
      <w:r>
        <w:rPr>
          <w:sz w:val="28"/>
          <w:szCs w:val="28"/>
          <w:shd w:val="clear" w:color="auto" w:fill="FFFFFF"/>
        </w:rPr>
        <w:t xml:space="preserve">сти»;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shd w:val="clear" w:color="auto" w:fill="FFFFFF"/>
        </w:rPr>
        <w:t xml:space="preserve">Постановление Правительства Пензенской обл. от 30.12.2021                      </w:t>
      </w:r>
      <w:bookmarkStart w:id="0" w:name="_GoBack"/>
      <w:r/>
      <w:bookmarkEnd w:id="0"/>
      <w:r>
        <w:rPr>
          <w:sz w:val="28"/>
          <w:szCs w:val="28"/>
          <w:highlight w:val="white"/>
          <w:shd w:val="clear" w:color="auto" w:fill="FFFFFF"/>
        </w:rPr>
        <w:t xml:space="preserve">№</w:t>
      </w:r>
      <w:r>
        <w:rPr>
          <w:sz w:val="28"/>
          <w:szCs w:val="28"/>
          <w:highlight w:val="white"/>
          <w:shd w:val="clear" w:color="auto" w:fill="FFFFFF"/>
        </w:rPr>
        <w:t xml:space="preserve"> 942-пП "Об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области"</w:t>
      </w:r>
      <w:r>
        <w:rPr>
          <w:sz w:val="28"/>
          <w:szCs w:val="28"/>
          <w:shd w:val="clear" w:color="auto" w:fill="FFFFFF"/>
        </w:rPr>
        <w:t xml:space="preserve">;</w:t>
      </w:r>
      <w:r/>
    </w:p>
    <w:p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</w:t>
      </w:r>
      <w:r>
        <w:rPr>
          <w:sz w:val="28"/>
          <w:szCs w:val="28"/>
          <w:shd w:val="clear" w:color="auto" w:fill="FFFFFF"/>
        </w:rPr>
        <w:t xml:space="preserve">казом Минсельхоза Пензенской области от 29.11.2024 № 20-91 «Об утверждении требований к размещению и обустройству сезонных залов (зон) обслуживания посетителей на территории Пензенской области, а также порядка выдачи документа, подтверждающего соответствие</w:t>
      </w:r>
      <w:r>
        <w:rPr>
          <w:sz w:val="28"/>
          <w:szCs w:val="28"/>
          <w:shd w:val="clear" w:color="auto" w:fill="FFFFFF"/>
        </w:rPr>
        <w:t xml:space="preserve"> сезонного зала (зоны) обслуживания посетителей таким требованиям».</w:t>
      </w:r>
      <w:r/>
    </w:p>
    <w:p>
      <w:pPr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Предметом Надзора является</w:t>
      </w:r>
      <w:r>
        <w:rPr>
          <w:sz w:val="28"/>
        </w:rPr>
        <w:t xml:space="preserve"> соблюдение юридическими лицами и индивидуальными предпринимателями, осуществляющими деятельность </w:t>
      </w:r>
      <w:r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розничной продаже алкогольной и спиртосодержащей продукции</w:t>
      </w:r>
      <w:r>
        <w:rPr>
          <w:color w:val="000000"/>
          <w:sz w:val="28"/>
          <w:szCs w:val="28"/>
        </w:rPr>
        <w:t xml:space="preserve">.</w:t>
      </w:r>
      <w:r/>
    </w:p>
    <w:p>
      <w:pPr>
        <w:jc w:val="both"/>
      </w:pPr>
      <w:r/>
      <w:r/>
    </w:p>
    <w:p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Цели и задачи обобщения и анализа </w:t>
      </w:r>
      <w:r/>
    </w:p>
    <w:p>
      <w:pPr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правоприменительной практики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</w:rPr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Целями обобщения и анализа правоприменительной практики являются: 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обеспечение единства практики применения Управлением федеральных законов и иных нормативных правовых актов Российской Федерации, законов Пензенской области и иных нормативных правовых актов Пензенской области, нормативных правовых актов органов местного </w:t>
      </w:r>
      <w:r>
        <w:rPr>
          <w:color w:val="000000"/>
          <w:sz w:val="28"/>
          <w:szCs w:val="28"/>
        </w:rPr>
        <w:t xml:space="preserve">самоуправления, иных нормативных документов, обязательность применения которых установлена законодательством Российской Федерации (далее - обязательные требования); 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обеспечение доступности сведений о правоприменительной практике Управлением  путем их пу</w:t>
      </w:r>
      <w:r>
        <w:rPr>
          <w:color w:val="000000"/>
          <w:sz w:val="28"/>
          <w:szCs w:val="28"/>
        </w:rPr>
        <w:t xml:space="preserve">бликации для сведения подконтрольных субъектов; 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снижение количества нарушений обязательных требований и повышение уровня защищенности охраняемых законом ценностей за счет обеспечения информированности контролируемых лиц о практике применения обязательны</w:t>
      </w:r>
      <w:r>
        <w:rPr>
          <w:color w:val="000000"/>
          <w:sz w:val="28"/>
          <w:szCs w:val="28"/>
        </w:rPr>
        <w:t xml:space="preserve">х требований;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повышение уровня защищенности охраняемых законом ценностей в сферах производства или оказания услуг за счет обеспечения соблюдения обязательных требований;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функций.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Задачами обобщения и анализа правоприменительной практики являются: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</w:t>
      </w:r>
      <w:r>
        <w:rPr>
          <w:rFonts w:eastAsia="Calibri"/>
          <w:sz w:val="28"/>
          <w:szCs w:val="28"/>
          <w:lang w:eastAsia="en-US"/>
        </w:rPr>
        <w:t xml:space="preserve">е проблемных вопросов применения Управлением обязательных требований;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выработка с привлечением широкого круга заинтересованных лиц оптимальных решений проблемных вопросов правоприменительной практики и их реализация;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устаревших, дублирующих</w:t>
      </w:r>
      <w:r>
        <w:rPr>
          <w:rFonts w:eastAsia="Calibri"/>
          <w:sz w:val="28"/>
          <w:szCs w:val="28"/>
          <w:lang w:eastAsia="en-US"/>
        </w:rPr>
        <w:t xml:space="preserve"> и избыточных обязательных требований, подготовка и внесение предложений по их устранению;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избыточных контрольно-надзорных функций, подготовка и внесение предложений по их устранению;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подготовка предложений по совершенствованию законодатель</w:t>
      </w:r>
      <w:r>
        <w:rPr>
          <w:rFonts w:eastAsia="Calibri"/>
          <w:sz w:val="28"/>
          <w:szCs w:val="28"/>
          <w:lang w:eastAsia="en-US"/>
        </w:rPr>
        <w:t xml:space="preserve">ства;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типичных нарушений обязательных требований и подготовка предложений по реализации профилактических мероприятий для их предупреждения. </w:t>
      </w:r>
      <w:r/>
    </w:p>
    <w:p>
      <w:pPr>
        <w:pStyle w:val="632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Доклад по правоприменительной практике Надзора включает в себя: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общие положения;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цели и задачи о</w:t>
      </w:r>
      <w:r>
        <w:rPr>
          <w:rFonts w:eastAsia="Calibri"/>
          <w:sz w:val="28"/>
          <w:szCs w:val="28"/>
          <w:lang w:eastAsia="en-US"/>
        </w:rPr>
        <w:t xml:space="preserve">бобщения и анализа правоприменительной практики; 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правоприменительная практика организации и проведения Надзора;</w:t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заключительные положения.</w:t>
      </w:r>
      <w:r/>
    </w:p>
    <w:p>
      <w:pPr>
        <w:pStyle w:val="632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pStyle w:val="632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Правоприменительная практика </w:t>
      </w:r>
      <w:r/>
    </w:p>
    <w:p>
      <w:pPr>
        <w:pStyle w:val="632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организации и проведения Надзора</w:t>
      </w:r>
      <w:r/>
    </w:p>
    <w:p>
      <w:pPr>
        <w:pStyle w:val="632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pStyle w:val="632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</w:t>
      </w:r>
      <w:r>
        <w:rPr>
          <w:rFonts w:eastAsia="Calibri"/>
          <w:sz w:val="28"/>
          <w:szCs w:val="28"/>
        </w:rPr>
        <w:t xml:space="preserve">5</w:t>
      </w:r>
      <w:r>
        <w:rPr>
          <w:rFonts w:eastAsia="Calibri"/>
          <w:sz w:val="28"/>
          <w:szCs w:val="28"/>
          <w:lang w:eastAsia="en-US"/>
        </w:rPr>
        <w:t xml:space="preserve"> году контрольная (надзорная) работа Управ</w:t>
      </w:r>
      <w:r>
        <w:rPr>
          <w:rFonts w:eastAsia="Calibri"/>
          <w:sz w:val="28"/>
          <w:szCs w:val="28"/>
          <w:lang w:eastAsia="en-US"/>
        </w:rPr>
        <w:t xml:space="preserve">ления строилась исходя из общефедеральных тенденций, направленных на многократное увеличение доли профилактики во всей работе надзорных органов и сокращение общего числа необоснованных контрольных (надзорных) мероприятий во взаимодействии с контролируемыми</w:t>
      </w:r>
      <w:r>
        <w:rPr>
          <w:rFonts w:eastAsia="Calibri"/>
          <w:sz w:val="28"/>
          <w:szCs w:val="28"/>
          <w:lang w:eastAsia="en-US"/>
        </w:rPr>
        <w:t xml:space="preserve"> лицами. </w:t>
      </w:r>
      <w:r/>
    </w:p>
    <w:p>
      <w:pPr>
        <w:pStyle w:val="632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Меры административного реагирования стали практически неприменимы в связи с ограничениями, продиктованными </w:t>
      </w:r>
      <w:r>
        <w:rPr>
          <w:sz w:val="28"/>
          <w:szCs w:val="28"/>
        </w:rPr>
        <w:t xml:space="preserve">Постановлением № 336.</w:t>
      </w:r>
      <w:r/>
    </w:p>
    <w:p>
      <w:pPr>
        <w:pStyle w:val="63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отсутствие должных оснований на проведение внеплановых контрольных (надзорных) мероприятий (</w:t>
      </w:r>
      <w:r>
        <w:rPr>
          <w:sz w:val="28"/>
          <w:szCs w:val="28"/>
        </w:rPr>
        <w:t xml:space="preserve">требований Прокуратуры РФ, сведений о </w:t>
      </w:r>
      <w:r>
        <w:rPr>
          <w:sz w:val="28"/>
          <w:szCs w:val="28"/>
          <w:shd w:val="clear" w:color="auto" w:fill="FFFFFF"/>
        </w:rPr>
        <w:t xml:space="preserve">непосредственной угрозе причинения вреда жизни и тяжкого вреда здоровью граждан, по фактам причинения вреда жизни и тяжкого вреда здоровью граждан)</w:t>
      </w:r>
      <w:r>
        <w:rPr>
          <w:sz w:val="28"/>
          <w:szCs w:val="28"/>
        </w:rPr>
        <w:t xml:space="preserve">, а также невозможность построения плановых проверок (отсутствие объект</w:t>
      </w:r>
      <w:r>
        <w:rPr>
          <w:sz w:val="28"/>
          <w:szCs w:val="28"/>
        </w:rPr>
        <w:t xml:space="preserve">ов, отнесенных к категориям чрезвычайно высокого и высокого риска) основой надзорной деятельности Управления в 2025 году стала</w:t>
      </w:r>
      <w:r>
        <w:rPr>
          <w:sz w:val="28"/>
          <w:szCs w:val="28"/>
        </w:rPr>
        <w:t xml:space="preserve"> профилактическая работа.</w:t>
      </w:r>
      <w:r/>
    </w:p>
    <w:p>
      <w:pPr>
        <w:pStyle w:val="632"/>
        <w:ind w:firstLine="709"/>
        <w:jc w:val="both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sz w:val="28"/>
          <w:szCs w:val="26"/>
          <w:highlight w:val="white"/>
        </w:rPr>
        <w:t xml:space="preserve">На территории Пензенской области по состоянию на 29.12.2025 года в государственном сводном реестре лицен</w:t>
      </w:r>
      <w:r>
        <w:rPr>
          <w:sz w:val="28"/>
          <w:szCs w:val="26"/>
          <w:highlight w:val="white"/>
        </w:rPr>
        <w:t xml:space="preserve">зий на розничную продажу </w:t>
      </w:r>
      <w:r>
        <w:rPr>
          <w:sz w:val="28"/>
          <w:szCs w:val="26"/>
          <w:highlight w:val="white"/>
        </w:rPr>
        <w:t xml:space="preserve">алкогольной продукции по Пензенской области зарегистрировано 312 лицензиатов</w:t>
      </w:r>
      <w:r>
        <w:rPr>
          <w:color w:val="auto"/>
          <w:sz w:val="28"/>
          <w:szCs w:val="26"/>
          <w:highlight w:val="white"/>
        </w:rPr>
        <w:t xml:space="preserve"> (из них 132 лицензиата, оказывающих услуги по общественному питанию в 200 объектах)</w:t>
      </w:r>
      <w:r>
        <w:rPr>
          <w:sz w:val="28"/>
          <w:szCs w:val="26"/>
        </w:rPr>
        <w:t xml:space="preserve">.</w:t>
      </w:r>
      <w:r/>
    </w:p>
    <w:p>
      <w:pPr>
        <w:pStyle w:val="632"/>
        <w:ind w:firstLine="709"/>
        <w:jc w:val="both"/>
      </w:pPr>
      <w:r>
        <w:rPr>
          <w:sz w:val="28"/>
          <w:szCs w:val="28"/>
        </w:rPr>
        <w:t xml:space="preserve">Управление при осуществлении Надзора проводило следующие профилактические мероприятия:</w:t>
      </w:r>
      <w:r/>
    </w:p>
    <w:p>
      <w:pPr>
        <w:pStyle w:val="61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информирование;</w:t>
      </w:r>
      <w:r/>
    </w:p>
    <w:p>
      <w:pPr>
        <w:pStyle w:val="61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объявление предостережения; </w:t>
      </w:r>
      <w:r/>
    </w:p>
    <w:p>
      <w:pPr>
        <w:pStyle w:val="61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обобщение правоприменительной практики;</w:t>
      </w:r>
      <w:r/>
    </w:p>
    <w:p>
      <w:pPr>
        <w:pStyle w:val="61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консультирование.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2025</w:t>
      </w:r>
      <w:r>
        <w:rPr>
          <w:sz w:val="28"/>
          <w:szCs w:val="28"/>
          <w:highlight w:val="white"/>
        </w:rPr>
        <w:t xml:space="preserve"> году Управлением было проведено 481 профилактическое мероприятие.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рамках информирования на официальном сайте Министерства были размещены все необходимые материалы, касающиеся Надзора, а именно: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1) тексты нормативных правовых актов, регулирующих осуществ</w:t>
      </w:r>
      <w:r>
        <w:rPr>
          <w:rFonts w:ascii="Times New Roman" w:hAnsi="Times New Roman"/>
          <w:sz w:val="28"/>
          <w:szCs w:val="28"/>
          <w:highlight w:val="white"/>
        </w:rPr>
        <w:t xml:space="preserve">ление Надзора;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</w:t>
      </w:r>
      <w:r>
        <w:rPr>
          <w:rFonts w:ascii="Times New Roman" w:hAnsi="Times New Roman"/>
          <w:sz w:val="28"/>
          <w:szCs w:val="28"/>
          <w:highlight w:val="white"/>
        </w:rPr>
        <w:t xml:space="preserve">и обязательных требований, с текстами в действующей редакции;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3) руководства по соблюдению обязательных требований, разработанные и утвержденные в соответствии с Федеральным законом от </w:t>
      </w:r>
      <w:r>
        <w:rPr>
          <w:rFonts w:ascii="Times New Roman" w:hAnsi="Times New Roman"/>
          <w:sz w:val="28"/>
          <w:szCs w:val="28"/>
          <w:highlight w:val="white"/>
        </w:rPr>
        <w:br/>
        <w:t xml:space="preserve">31.07.2020 № 248-ФЗ «О государственном контроле (надзоре) и муниципаль</w:t>
      </w:r>
      <w:r>
        <w:rPr>
          <w:rFonts w:ascii="Times New Roman" w:hAnsi="Times New Roman"/>
          <w:sz w:val="28"/>
          <w:szCs w:val="28"/>
          <w:highlight w:val="white"/>
        </w:rPr>
        <w:t xml:space="preserve">ном контроле в Российской Федерации»;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4) перечень индикаторов риска нарушения обязательных требований, порядок отнесения объектов Надзора к категории риска;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5) перечень объектов Надзора, учитываемых в рамках формирования ежегодного плана контрольных (надзо</w:t>
      </w:r>
      <w:r>
        <w:rPr>
          <w:rFonts w:ascii="Times New Roman" w:hAnsi="Times New Roman"/>
          <w:sz w:val="28"/>
          <w:szCs w:val="28"/>
          <w:highlight w:val="white"/>
        </w:rPr>
        <w:t xml:space="preserve">рных) мероприятий, с указанием категории риска;</w:t>
      </w:r>
      <w:r/>
    </w:p>
    <w:p>
      <w:pPr>
        <w:pStyle w:val="615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6) программа профилактики;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7) исчерпывающий перечень сведений, которые могут запрашиваться Управлением у контролируемого лица;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8) сведения о способах получения консультаций по вопросам соблюдения обязательных</w:t>
      </w:r>
      <w:r>
        <w:rPr>
          <w:rFonts w:ascii="Times New Roman" w:hAnsi="Times New Roman"/>
          <w:sz w:val="28"/>
          <w:szCs w:val="28"/>
          <w:highlight w:val="white"/>
        </w:rPr>
        <w:t xml:space="preserve"> требований;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9) сведения о порядке досудебного обжалования решений Управления, действий (бездействия) ее должностных лиц;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10) доклады, содержащие результаты обобщения правоприменительной практики контрольного (надзорного) органа;</w:t>
      </w:r>
      <w:r/>
    </w:p>
    <w:p>
      <w:pPr>
        <w:pStyle w:val="615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11) доклады о федеральном </w:t>
      </w:r>
      <w:r>
        <w:rPr>
          <w:rFonts w:ascii="Times New Roman" w:hAnsi="Times New Roman"/>
          <w:sz w:val="28"/>
          <w:szCs w:val="28"/>
          <w:highlight w:val="white"/>
        </w:rPr>
        <w:t xml:space="preserve">государственном контроле (надзоре);</w:t>
      </w:r>
      <w:r/>
    </w:p>
    <w:p>
      <w:pPr>
        <w:pStyle w:val="615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12) иные сведения, предусмотренные нормативными правовыми актами Пензенской области и (или) программой профилактики.</w:t>
      </w:r>
      <w:r/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Было вынесено 109 предостережений и осуществлено 15 профилактических визитов по инициативе контролируем</w:t>
      </w:r>
      <w:r>
        <w:rPr>
          <w:sz w:val="28"/>
          <w:szCs w:val="28"/>
          <w:highlight w:val="white"/>
        </w:rPr>
        <w:t xml:space="preserve">ых лиц. </w:t>
      </w:r>
      <w:r/>
    </w:p>
    <w:p>
      <w:pPr>
        <w:ind w:firstLine="720"/>
        <w:jc w:val="both"/>
        <w:shd w:val="clear" w:color="auto" w:fill="FFFFFF" w:themeFill="background1"/>
        <w:rPr>
          <w:sz w:val="28"/>
          <w:highlight w:val="white"/>
        </w:rPr>
      </w:pPr>
      <w:r>
        <w:rPr>
          <w:sz w:val="28"/>
          <w:szCs w:val="28"/>
          <w:highlight w:val="white"/>
        </w:rPr>
        <w:t xml:space="preserve">Количество проведенных контрольных (надзорных) мероприятий без взаимодействия по обращению граждан - всего 28, в том числе: 14 выездных обследований и 14 наблюдений за соблюдением обязательных требований.</w:t>
      </w:r>
      <w:r/>
    </w:p>
    <w:p>
      <w:pPr>
        <w:ind w:firstLine="720"/>
        <w:jc w:val="both"/>
        <w:shd w:val="clear" w:color="auto" w:fill="FFFFFF" w:themeFill="background1"/>
        <w:rPr>
          <w:highlight w:val="white"/>
        </w:rPr>
      </w:pPr>
      <w:r>
        <w:rPr>
          <w:sz w:val="28"/>
          <w:highlight w:val="white"/>
        </w:rPr>
        <w:t xml:space="preserve">В рамках соглашения о межведомственном вза</w:t>
      </w:r>
      <w:r>
        <w:rPr>
          <w:sz w:val="28"/>
          <w:highlight w:val="white"/>
        </w:rPr>
        <w:t xml:space="preserve">имодействии,  </w:t>
      </w:r>
      <w:r>
        <w:rPr>
          <w:sz w:val="28"/>
          <w:highlight w:val="white"/>
        </w:rPr>
        <w:t xml:space="preserve">Росалкогольтабакконтролем</w:t>
      </w:r>
      <w:r>
        <w:rPr>
          <w:sz w:val="28"/>
          <w:highlight w:val="white"/>
        </w:rPr>
        <w:t xml:space="preserve"> были предоставлены данные о лицах, в чьих действиях содержатся признаки нарушения действующего законодательства в сфере оборота алкогольной продукции. </w:t>
      </w:r>
      <w:r/>
    </w:p>
    <w:p>
      <w:pPr>
        <w:ind w:firstLine="720"/>
        <w:jc w:val="both"/>
        <w:shd w:val="clear" w:color="auto" w:fill="FFFFFF" w:themeFill="background1"/>
        <w:rPr>
          <w:highlight w:val="white"/>
        </w:rPr>
      </w:pPr>
      <w:r>
        <w:rPr>
          <w:sz w:val="28"/>
          <w:highlight w:val="white"/>
        </w:rPr>
        <w:t xml:space="preserve">В ходе проведенного анализа поступившей информации и мероприятий</w:t>
      </w:r>
      <w:r>
        <w:rPr>
          <w:sz w:val="28"/>
          <w:highlight w:val="white"/>
        </w:rPr>
        <w:t xml:space="preserve">, проведенных без взаимодействия, было вынесено 95  предостережений о недопустимости нарушения обязательных требований.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Регулярно проводятся мероприятия без взаимодействия (мониторинг безопасности), направленные на выявление нарушителей как в системе ЕГАИС</w:t>
      </w:r>
      <w:r>
        <w:rPr>
          <w:sz w:val="28"/>
          <w:highlight w:val="white"/>
        </w:rPr>
        <w:t xml:space="preserve">, так и в системе Честный Знак, по результатам мероприятий в отношении лиц, в чьих действиях содержатся возможные признаки нарушений законодательства, направляются предостережения о недопустимости нарушения обязательных требований.</w:t>
      </w:r>
      <w:r/>
    </w:p>
    <w:p>
      <w:pPr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Работа в данном направле</w:t>
      </w:r>
      <w:r>
        <w:rPr>
          <w:sz w:val="28"/>
          <w:highlight w:val="white"/>
        </w:rPr>
        <w:t xml:space="preserve">нии продолжается.</w:t>
      </w:r>
      <w:r/>
    </w:p>
    <w:p>
      <w:pPr>
        <w:ind w:firstLine="709"/>
        <w:jc w:val="both"/>
        <w:rPr>
          <w:sz w:val="28"/>
          <w:highlight w:val="white"/>
        </w:rPr>
      </w:pPr>
      <w:r>
        <w:rPr>
          <w:sz w:val="28"/>
          <w:szCs w:val="28"/>
          <w:highlight w:val="white"/>
        </w:rPr>
        <w:t xml:space="preserve">Консультирование</w:t>
      </w:r>
      <w:r>
        <w:rPr>
          <w:sz w:val="28"/>
          <w:szCs w:val="28"/>
          <w:highlight w:val="white"/>
        </w:rPr>
        <w:t xml:space="preserve"> Управлением проводилось в ежедневном режиме при личном приеме, по телефону, при проведении выездной оценки на соответствие лицензионным требованиям, а также путем подачи обращений через официальный сайт в информационно-телекоммуникационной сети «Интернет»</w:t>
      </w:r>
      <w:r>
        <w:rPr>
          <w:highlight w:val="white"/>
        </w:rPr>
        <w:t xml:space="preserve"> </w:t>
      </w:r>
      <w:hyperlink r:id="rId9" w:tooltip="https://mcx.pnzreg.ru" w:history="1">
        <w:r>
          <w:rPr>
            <w:sz w:val="28"/>
            <w:szCs w:val="28"/>
            <w:highlight w:val="white"/>
          </w:rPr>
          <w:t xml:space="preserve">https://mcx.pnzreg.ru</w:t>
        </w:r>
      </w:hyperlink>
      <w:r>
        <w:rPr>
          <w:sz w:val="28"/>
          <w:szCs w:val="28"/>
          <w:highlight w:val="white"/>
        </w:rPr>
        <w:t xml:space="preserve">.</w:t>
      </w:r>
      <w:r>
        <w:rPr>
          <w:sz w:val="28"/>
          <w:highlight w:val="white"/>
        </w:rPr>
        <w:t xml:space="preserve"> Общее количество консультаций составило 330.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  <w:highlight w:val="white"/>
        </w:rPr>
        <w:t xml:space="preserve">В целях обеспечения снижения алкоголизации населения Пензенской области, на основании многочисленных обращений граждан и введении дополнительных ограничений в статью 3 </w:t>
      </w:r>
      <w:hyperlink r:id="rId10" w:tooltip="https://login.consultant.ru/link/?req=doc&amp;base=RLAW021&amp;n=192938" w:history="1">
        <w:r>
          <w:rPr>
            <w:bCs/>
            <w:sz w:val="28"/>
            <w:szCs w:val="26"/>
            <w:highlight w:val="white"/>
          </w:rPr>
          <w:t xml:space="preserve">Закона</w:t>
        </w:r>
      </w:hyperlink>
      <w:r>
        <w:rPr>
          <w:bCs/>
          <w:sz w:val="28"/>
          <w:szCs w:val="26"/>
          <w:highlight w:val="white"/>
        </w:rPr>
        <w:t xml:space="preserve"> Пензенской области от 24.04.2024 № 4233-ЗПО "О некоторых вопросах, связанных с реализацией в Пензенской области отдельных положений Федерального закона от 22 ноября 1995 года № 171-ФЗ "О г</w:t>
      </w:r>
      <w:r>
        <w:rPr>
          <w:bCs/>
          <w:sz w:val="28"/>
          <w:szCs w:val="26"/>
          <w:highlight w:val="white"/>
        </w:rPr>
        <w:t xml:space="preserve">осударственном регулировании производства и оборота этилового спирта, алкогольной и спиртосодержащей продукции и об ограничении</w:t>
      </w:r>
      <w:r>
        <w:rPr>
          <w:bCs/>
          <w:sz w:val="28"/>
          <w:szCs w:val="26"/>
          <w:highlight w:val="white"/>
        </w:rPr>
        <w:t xml:space="preserve"> </w:t>
      </w:r>
      <w:r>
        <w:rPr>
          <w:bCs/>
          <w:sz w:val="28"/>
          <w:szCs w:val="26"/>
          <w:highlight w:val="white"/>
        </w:rPr>
        <w:t xml:space="preserve">потребления (распития) алкогольной продукции" в части</w:t>
      </w:r>
      <w:r>
        <w:rPr>
          <w:sz w:val="28"/>
          <w:szCs w:val="26"/>
          <w:highlight w:val="white"/>
        </w:rPr>
        <w:t xml:space="preserve"> розничной продажи алкогольной продукции,  сотрудники  участвовали в разраб</w:t>
      </w:r>
      <w:r>
        <w:rPr>
          <w:sz w:val="28"/>
          <w:szCs w:val="26"/>
          <w:highlight w:val="white"/>
        </w:rPr>
        <w:t xml:space="preserve">отке проекта закона Пензенской области, </w:t>
      </w:r>
      <w:r>
        <w:rPr>
          <w:bCs/>
          <w:sz w:val="28"/>
          <w:szCs w:val="28"/>
          <w:highlight w:val="white"/>
        </w:rPr>
        <w:t xml:space="preserve">устанавливающего дополнительные ограничения в сфере реализации алкогольной продукции, а именно: </w:t>
      </w:r>
      <w:r>
        <w:rPr>
          <w:sz w:val="28"/>
          <w:szCs w:val="26"/>
          <w:highlight w:val="white"/>
        </w:rPr>
        <w:t xml:space="preserve">с 1 марта 2026 года</w:t>
      </w:r>
      <w:r>
        <w:rPr>
          <w:sz w:val="28"/>
          <w:highlight w:val="white"/>
        </w:rPr>
        <w:t xml:space="preserve"> введен запрет на продажу алкоголя в стационарных торговых объектах, расположенных в подвальных, подз</w:t>
      </w:r>
      <w:r>
        <w:rPr>
          <w:sz w:val="28"/>
          <w:highlight w:val="white"/>
        </w:rPr>
        <w:t xml:space="preserve">емных и цокольных этажах многоквартирных домов, также изменится время реализации спиртных напитков с 10:00</w:t>
      </w:r>
      <w:r>
        <w:rPr>
          <w:sz w:val="28"/>
          <w:highlight w:val="white"/>
        </w:rPr>
        <w:t xml:space="preserve"> до 22:00 (за исключением её продажи при оказании услуг общественного питания)</w:t>
      </w:r>
      <w:r>
        <w:rPr>
          <w:sz w:val="28"/>
          <w:szCs w:val="26"/>
          <w:highlight w:val="white"/>
        </w:rPr>
        <w:t xml:space="preserve">.</w:t>
      </w:r>
      <w:r>
        <w:rPr>
          <w:sz w:val="28"/>
          <w:highlight w:val="white"/>
        </w:rPr>
        <w:t xml:space="preserve"> 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Разработана, утверждена и размещена на официальном сайте Министерства</w:t>
      </w:r>
      <w:r>
        <w:rPr>
          <w:sz w:val="28"/>
          <w:szCs w:val="28"/>
        </w:rPr>
        <w:t xml:space="preserve"> программа профилактики на 2026 год.</w:t>
      </w:r>
      <w:r/>
    </w:p>
    <w:p>
      <w:pPr>
        <w:ind w:firstLine="709"/>
        <w:jc w:val="both"/>
      </w:pPr>
      <w:r/>
      <w:r/>
    </w:p>
    <w:p>
      <w:pPr>
        <w:ind w:firstLine="709"/>
        <w:jc w:val="center"/>
      </w:pPr>
      <w:r>
        <w:rPr>
          <w:b/>
          <w:sz w:val="28"/>
          <w:szCs w:val="28"/>
          <w:shd w:val="clear" w:color="auto" w:fill="FFFFFF"/>
        </w:rPr>
        <w:t xml:space="preserve">Заключительные положения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>
        <w:rPr>
          <w:sz w:val="28"/>
          <w:szCs w:val="28"/>
        </w:rPr>
        <w:t xml:space="preserve">В 2026 году развитие контрольной (надзорной) работы Управления будет продолжено. Планируется расширение профилактической деятельности (в </w:t>
      </w:r>
      <w:r>
        <w:rPr>
          <w:sz w:val="28"/>
          <w:szCs w:val="28"/>
        </w:rPr>
        <w:t xml:space="preserve">части проведения профилактических визитов). В 2026 году</w:t>
      </w:r>
      <w:r>
        <w:rPr>
          <w:sz w:val="28"/>
          <w:szCs w:val="28"/>
        </w:rPr>
        <w:t xml:space="preserve"> количество проведенной профилактической работы – ключевой показатель всей надзорной деятельности органов контроля в рейтинге Правительства Российской Федерации. 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По мнению Управления, будущее Надзора состоит в предотвращении случаев нарушения обязательных</w:t>
      </w:r>
      <w:r>
        <w:rPr>
          <w:sz w:val="28"/>
          <w:szCs w:val="28"/>
        </w:rPr>
        <w:t xml:space="preserve"> требований, связанных с осуществлением деятельности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розничной продаже алкогольной и спиртосодержащей продукции</w:t>
      </w:r>
      <w:r>
        <w:rPr>
          <w:sz w:val="28"/>
          <w:szCs w:val="28"/>
        </w:rPr>
        <w:t xml:space="preserve">. Анализ осуществления регионального государственного контроля за 2025 год позволил сделать вывод о минимизации случаев причинения вреда жизни</w:t>
      </w:r>
      <w:r>
        <w:rPr>
          <w:sz w:val="28"/>
          <w:szCs w:val="28"/>
        </w:rPr>
        <w:t xml:space="preserve"> и здоровью граждан. Профилактические мероприятия эффективно действуют на предупреждение нарушений обязательных требований.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этом смысле профилактика рисков нарушения обязательных требований в отношении юридических лиц и индивидуальных предпринимателей – </w:t>
      </w:r>
      <w:r>
        <w:rPr>
          <w:sz w:val="28"/>
          <w:szCs w:val="28"/>
        </w:rPr>
        <w:t xml:space="preserve">неоспоримая основа контрольной (надзорной) деятельности Управления.</w:t>
      </w:r>
      <w:r/>
    </w:p>
    <w:p>
      <w:pPr>
        <w:jc w:val="both"/>
        <w:tabs>
          <w:tab w:val="left" w:pos="2010" w:leader="none"/>
        </w:tabs>
        <w:rPr>
          <w:sz w:val="26"/>
        </w:rPr>
      </w:pPr>
      <w:r>
        <w:rPr>
          <w:sz w:val="26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sectPr>
      <w:footnotePr/>
      <w:type w:val="nextPage"/>
      <w:pgSz w:w="11907" w:h="16840" w:orient="portrait"/>
      <w:pgMar w:top="1275" w:right="850" w:bottom="1250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23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1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/>
        <w:sz w:val="20"/>
        <w:szCs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/>
        <w:sz w:val="20"/>
        <w:szCs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/>
        <w:sz w:val="20"/>
        <w:szCs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11"/>
  </w:num>
  <w:num w:numId="13">
    <w:abstractNumId w:val="13"/>
  </w:num>
  <w:num w:numId="1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18" w:default="1">
    <w:name w:val="Normal"/>
    <w:rPr>
      <w:lang w:bidi="ar-SA" w:eastAsia="ru-RU"/>
    </w:rPr>
  </w:style>
  <w:style w:type="paragraph" w:styleId="419">
    <w:name w:val="Heading 1"/>
    <w:basedOn w:val="418"/>
    <w:next w:val="418"/>
    <w:link w:val="447"/>
    <w:rPr>
      <w:sz w:val="24"/>
    </w:rPr>
    <w:pPr>
      <w:jc w:val="both"/>
      <w:keepNext/>
      <w:outlineLvl w:val="0"/>
    </w:pPr>
  </w:style>
  <w:style w:type="paragraph" w:styleId="420">
    <w:name w:val="Heading 2"/>
    <w:basedOn w:val="418"/>
    <w:next w:val="418"/>
    <w:link w:val="448"/>
    <w:rPr>
      <w:sz w:val="24"/>
    </w:rPr>
    <w:pPr>
      <w:keepNext/>
      <w:outlineLvl w:val="1"/>
    </w:pPr>
  </w:style>
  <w:style w:type="paragraph" w:styleId="421">
    <w:name w:val="Heading 3"/>
    <w:basedOn w:val="418"/>
    <w:next w:val="418"/>
    <w:link w:val="449"/>
    <w:rPr>
      <w:b/>
      <w:sz w:val="40"/>
    </w:rPr>
    <w:pPr>
      <w:jc w:val="center"/>
      <w:keepNext/>
      <w:outlineLvl w:val="2"/>
    </w:pPr>
  </w:style>
  <w:style w:type="paragraph" w:styleId="422">
    <w:name w:val="Heading 4"/>
    <w:basedOn w:val="418"/>
    <w:next w:val="418"/>
    <w:link w:val="450"/>
    <w:rPr>
      <w:sz w:val="28"/>
    </w:rPr>
    <w:pPr>
      <w:jc w:val="center"/>
      <w:keepNext/>
      <w:outlineLvl w:val="3"/>
    </w:pPr>
  </w:style>
  <w:style w:type="paragraph" w:styleId="423">
    <w:name w:val="Heading 5"/>
    <w:link w:val="45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24">
    <w:name w:val="Heading 6"/>
    <w:link w:val="45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25">
    <w:name w:val="Heading 7"/>
    <w:link w:val="45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26">
    <w:name w:val="Heading 8"/>
    <w:link w:val="45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27">
    <w:name w:val="Heading 9"/>
    <w:link w:val="45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28" w:default="1">
    <w:name w:val="Default Paragraph Font"/>
    <w:uiPriority w:val="1"/>
    <w:semiHidden/>
    <w:unhideWhenUsed/>
  </w:style>
  <w:style w:type="table" w:styleId="4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30" w:default="1">
    <w:name w:val="No List"/>
    <w:uiPriority w:val="99"/>
    <w:semiHidden/>
    <w:unhideWhenUsed/>
  </w:style>
  <w:style w:type="character" w:styleId="431" w:customStyle="1">
    <w:name w:val="Heading 1 Char"/>
    <w:basedOn w:val="428"/>
    <w:uiPriority w:val="9"/>
    <w:rPr>
      <w:rFonts w:ascii="Arial" w:hAnsi="Arial" w:cs="Arial" w:eastAsia="Arial"/>
      <w:sz w:val="40"/>
      <w:szCs w:val="40"/>
    </w:rPr>
  </w:style>
  <w:style w:type="character" w:styleId="432" w:customStyle="1">
    <w:name w:val="Heading 2 Char"/>
    <w:basedOn w:val="428"/>
    <w:uiPriority w:val="9"/>
    <w:rPr>
      <w:rFonts w:ascii="Arial" w:hAnsi="Arial" w:cs="Arial" w:eastAsia="Arial"/>
      <w:sz w:val="34"/>
    </w:rPr>
  </w:style>
  <w:style w:type="character" w:styleId="433" w:customStyle="1">
    <w:name w:val="Heading 3 Char"/>
    <w:basedOn w:val="428"/>
    <w:uiPriority w:val="9"/>
    <w:rPr>
      <w:rFonts w:ascii="Arial" w:hAnsi="Arial" w:cs="Arial" w:eastAsia="Arial"/>
      <w:sz w:val="30"/>
      <w:szCs w:val="30"/>
    </w:rPr>
  </w:style>
  <w:style w:type="character" w:styleId="434" w:customStyle="1">
    <w:name w:val="Heading 4 Char"/>
    <w:basedOn w:val="428"/>
    <w:uiPriority w:val="9"/>
    <w:rPr>
      <w:rFonts w:ascii="Arial" w:hAnsi="Arial" w:cs="Arial" w:eastAsia="Arial"/>
      <w:b/>
      <w:bCs/>
      <w:sz w:val="26"/>
      <w:szCs w:val="26"/>
    </w:rPr>
  </w:style>
  <w:style w:type="character" w:styleId="435" w:customStyle="1">
    <w:name w:val="Heading 5 Char"/>
    <w:basedOn w:val="428"/>
    <w:uiPriority w:val="9"/>
    <w:rPr>
      <w:rFonts w:ascii="Arial" w:hAnsi="Arial" w:cs="Arial" w:eastAsia="Arial"/>
      <w:b/>
      <w:bCs/>
      <w:sz w:val="24"/>
      <w:szCs w:val="24"/>
    </w:rPr>
  </w:style>
  <w:style w:type="character" w:styleId="436" w:customStyle="1">
    <w:name w:val="Heading 6 Char"/>
    <w:basedOn w:val="428"/>
    <w:uiPriority w:val="9"/>
    <w:rPr>
      <w:rFonts w:ascii="Arial" w:hAnsi="Arial" w:cs="Arial" w:eastAsia="Arial"/>
      <w:b/>
      <w:bCs/>
      <w:sz w:val="22"/>
      <w:szCs w:val="22"/>
    </w:rPr>
  </w:style>
  <w:style w:type="character" w:styleId="437" w:customStyle="1">
    <w:name w:val="Heading 7 Char"/>
    <w:basedOn w:val="42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8" w:customStyle="1">
    <w:name w:val="Heading 8 Char"/>
    <w:basedOn w:val="428"/>
    <w:uiPriority w:val="9"/>
    <w:rPr>
      <w:rFonts w:ascii="Arial" w:hAnsi="Arial" w:cs="Arial" w:eastAsia="Arial"/>
      <w:i/>
      <w:iCs/>
      <w:sz w:val="22"/>
      <w:szCs w:val="22"/>
    </w:rPr>
  </w:style>
  <w:style w:type="character" w:styleId="439" w:customStyle="1">
    <w:name w:val="Heading 9 Char"/>
    <w:basedOn w:val="428"/>
    <w:uiPriority w:val="9"/>
    <w:rPr>
      <w:rFonts w:ascii="Arial" w:hAnsi="Arial" w:cs="Arial" w:eastAsia="Arial"/>
      <w:i/>
      <w:iCs/>
      <w:sz w:val="21"/>
      <w:szCs w:val="21"/>
    </w:rPr>
  </w:style>
  <w:style w:type="character" w:styleId="440" w:customStyle="1">
    <w:name w:val="Title Char"/>
    <w:basedOn w:val="428"/>
    <w:uiPriority w:val="10"/>
    <w:rPr>
      <w:sz w:val="48"/>
      <w:szCs w:val="48"/>
    </w:rPr>
  </w:style>
  <w:style w:type="character" w:styleId="441" w:customStyle="1">
    <w:name w:val="Subtitle Char"/>
    <w:basedOn w:val="428"/>
    <w:uiPriority w:val="11"/>
    <w:rPr>
      <w:sz w:val="24"/>
      <w:szCs w:val="24"/>
    </w:rPr>
  </w:style>
  <w:style w:type="character" w:styleId="442" w:customStyle="1">
    <w:name w:val="Quote Char"/>
    <w:uiPriority w:val="29"/>
    <w:rPr>
      <w:i/>
    </w:rPr>
  </w:style>
  <w:style w:type="character" w:styleId="443" w:customStyle="1">
    <w:name w:val="Intense Quote Char"/>
    <w:uiPriority w:val="30"/>
    <w:rPr>
      <w:i/>
    </w:rPr>
  </w:style>
  <w:style w:type="character" w:styleId="444" w:customStyle="1">
    <w:name w:val="Header Char"/>
    <w:basedOn w:val="428"/>
    <w:uiPriority w:val="99"/>
  </w:style>
  <w:style w:type="character" w:styleId="445" w:customStyle="1">
    <w:name w:val="Caption Char"/>
    <w:uiPriority w:val="99"/>
  </w:style>
  <w:style w:type="character" w:styleId="446" w:customStyle="1">
    <w:name w:val="Footnote Text Char"/>
    <w:uiPriority w:val="99"/>
    <w:rPr>
      <w:sz w:val="18"/>
    </w:rPr>
  </w:style>
  <w:style w:type="character" w:styleId="447" w:customStyle="1">
    <w:name w:val="Заголовок 1 Знак"/>
    <w:link w:val="419"/>
    <w:uiPriority w:val="9"/>
    <w:rPr>
      <w:rFonts w:ascii="Arial" w:hAnsi="Arial" w:cs="Arial" w:eastAsia="Arial"/>
      <w:sz w:val="40"/>
      <w:szCs w:val="40"/>
    </w:rPr>
  </w:style>
  <w:style w:type="character" w:styleId="448" w:customStyle="1">
    <w:name w:val="Заголовок 2 Знак"/>
    <w:link w:val="420"/>
    <w:uiPriority w:val="9"/>
    <w:rPr>
      <w:rFonts w:ascii="Arial" w:hAnsi="Arial" w:cs="Arial" w:eastAsia="Arial"/>
      <w:sz w:val="34"/>
    </w:rPr>
  </w:style>
  <w:style w:type="character" w:styleId="449" w:customStyle="1">
    <w:name w:val="Заголовок 3 Знак"/>
    <w:link w:val="421"/>
    <w:uiPriority w:val="9"/>
    <w:rPr>
      <w:rFonts w:ascii="Arial" w:hAnsi="Arial" w:cs="Arial" w:eastAsia="Arial"/>
      <w:sz w:val="30"/>
      <w:szCs w:val="30"/>
    </w:rPr>
  </w:style>
  <w:style w:type="character" w:styleId="450" w:customStyle="1">
    <w:name w:val="Заголовок 4 Знак"/>
    <w:link w:val="422"/>
    <w:uiPriority w:val="9"/>
    <w:rPr>
      <w:rFonts w:ascii="Arial" w:hAnsi="Arial" w:cs="Arial" w:eastAsia="Arial"/>
      <w:b/>
      <w:bCs/>
      <w:sz w:val="26"/>
      <w:szCs w:val="26"/>
    </w:rPr>
  </w:style>
  <w:style w:type="character" w:styleId="451" w:customStyle="1">
    <w:name w:val="Заголовок 5 Знак"/>
    <w:link w:val="423"/>
    <w:uiPriority w:val="9"/>
    <w:rPr>
      <w:rFonts w:ascii="Arial" w:hAnsi="Arial" w:cs="Arial" w:eastAsia="Arial"/>
      <w:b/>
      <w:bCs/>
      <w:sz w:val="24"/>
      <w:szCs w:val="24"/>
    </w:rPr>
  </w:style>
  <w:style w:type="character" w:styleId="452" w:customStyle="1">
    <w:name w:val="Заголовок 6 Знак"/>
    <w:link w:val="424"/>
    <w:uiPriority w:val="9"/>
    <w:rPr>
      <w:rFonts w:ascii="Arial" w:hAnsi="Arial" w:cs="Arial" w:eastAsia="Arial"/>
      <w:b/>
      <w:bCs/>
      <w:sz w:val="22"/>
      <w:szCs w:val="22"/>
    </w:rPr>
  </w:style>
  <w:style w:type="character" w:styleId="453" w:customStyle="1">
    <w:name w:val="Заголовок 7 Знак"/>
    <w:link w:val="42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4" w:customStyle="1">
    <w:name w:val="Заголовок 8 Знак"/>
    <w:link w:val="426"/>
    <w:uiPriority w:val="9"/>
    <w:rPr>
      <w:rFonts w:ascii="Arial" w:hAnsi="Arial" w:cs="Arial" w:eastAsia="Arial"/>
      <w:i/>
      <w:iCs/>
      <w:sz w:val="22"/>
      <w:szCs w:val="22"/>
    </w:rPr>
  </w:style>
  <w:style w:type="character" w:styleId="455" w:customStyle="1">
    <w:name w:val="Заголовок 9 Знак"/>
    <w:link w:val="427"/>
    <w:uiPriority w:val="9"/>
    <w:rPr>
      <w:rFonts w:ascii="Arial" w:hAnsi="Arial" w:cs="Arial" w:eastAsia="Arial"/>
      <w:i/>
      <w:iCs/>
      <w:sz w:val="21"/>
      <w:szCs w:val="21"/>
    </w:rPr>
  </w:style>
  <w:style w:type="paragraph" w:styleId="456">
    <w:name w:val="List Paragraph"/>
    <w:qFormat/>
    <w:uiPriority w:val="34"/>
    <w:pPr>
      <w:contextualSpacing w:val="true"/>
      <w:ind w:left="720"/>
    </w:pPr>
  </w:style>
  <w:style w:type="paragraph" w:styleId="457">
    <w:name w:val="No Spacing"/>
    <w:qFormat/>
    <w:uiPriority w:val="1"/>
  </w:style>
  <w:style w:type="paragraph" w:styleId="458">
    <w:name w:val="Title"/>
    <w:basedOn w:val="418"/>
    <w:link w:val="459"/>
    <w:rPr>
      <w:b/>
      <w:sz w:val="26"/>
    </w:rPr>
    <w:pPr>
      <w:jc w:val="center"/>
    </w:pPr>
  </w:style>
  <w:style w:type="character" w:styleId="459" w:customStyle="1">
    <w:name w:val="Название Знак"/>
    <w:link w:val="458"/>
    <w:uiPriority w:val="10"/>
    <w:rPr>
      <w:sz w:val="48"/>
      <w:szCs w:val="48"/>
    </w:rPr>
  </w:style>
  <w:style w:type="paragraph" w:styleId="460">
    <w:name w:val="Subtitle"/>
    <w:link w:val="461"/>
    <w:qFormat/>
    <w:uiPriority w:val="11"/>
    <w:rPr>
      <w:sz w:val="24"/>
      <w:szCs w:val="24"/>
    </w:rPr>
    <w:pPr>
      <w:spacing w:after="200" w:before="200"/>
    </w:pPr>
  </w:style>
  <w:style w:type="character" w:styleId="461" w:customStyle="1">
    <w:name w:val="Подзаголовок Знак"/>
    <w:link w:val="460"/>
    <w:uiPriority w:val="11"/>
    <w:rPr>
      <w:sz w:val="24"/>
      <w:szCs w:val="24"/>
    </w:rPr>
  </w:style>
  <w:style w:type="paragraph" w:styleId="462">
    <w:name w:val="Quote"/>
    <w:link w:val="463"/>
    <w:qFormat/>
    <w:uiPriority w:val="29"/>
    <w:rPr>
      <w:i/>
    </w:rPr>
    <w:pPr>
      <w:ind w:left="720" w:right="720"/>
    </w:pPr>
  </w:style>
  <w:style w:type="character" w:styleId="463" w:customStyle="1">
    <w:name w:val="Цитата 2 Знак"/>
    <w:link w:val="462"/>
    <w:uiPriority w:val="29"/>
    <w:rPr>
      <w:i/>
    </w:rPr>
  </w:style>
  <w:style w:type="paragraph" w:styleId="464">
    <w:name w:val="Intense Quote"/>
    <w:link w:val="46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65" w:customStyle="1">
    <w:name w:val="Выделенная цитата Знак"/>
    <w:link w:val="464"/>
    <w:uiPriority w:val="30"/>
    <w:rPr>
      <w:i/>
    </w:rPr>
  </w:style>
  <w:style w:type="paragraph" w:styleId="466">
    <w:name w:val="Header"/>
    <w:basedOn w:val="418"/>
    <w:link w:val="467"/>
    <w:pPr>
      <w:tabs>
        <w:tab w:val="center" w:pos="4153" w:leader="none"/>
        <w:tab w:val="right" w:pos="8306" w:leader="none"/>
      </w:tabs>
    </w:pPr>
  </w:style>
  <w:style w:type="character" w:styleId="467" w:customStyle="1">
    <w:name w:val="Верхний колонтитул Знак"/>
    <w:link w:val="466"/>
    <w:uiPriority w:val="99"/>
  </w:style>
  <w:style w:type="paragraph" w:styleId="468">
    <w:name w:val="Footer"/>
    <w:basedOn w:val="418"/>
    <w:link w:val="471"/>
    <w:pPr>
      <w:tabs>
        <w:tab w:val="center" w:pos="4153" w:leader="none"/>
        <w:tab w:val="right" w:pos="8306" w:leader="none"/>
      </w:tabs>
    </w:pPr>
  </w:style>
  <w:style w:type="character" w:styleId="469" w:customStyle="1">
    <w:name w:val="Footer Char"/>
    <w:uiPriority w:val="99"/>
  </w:style>
  <w:style w:type="paragraph" w:styleId="470">
    <w:name w:val="Caption"/>
    <w:basedOn w:val="418"/>
    <w:next w:val="418"/>
    <w:rPr>
      <w:b/>
      <w:sz w:val="40"/>
    </w:rPr>
    <w:pPr>
      <w:jc w:val="center"/>
    </w:pPr>
  </w:style>
  <w:style w:type="character" w:styleId="471" w:customStyle="1">
    <w:name w:val="Нижний колонтитул Знак"/>
    <w:link w:val="468"/>
    <w:uiPriority w:val="99"/>
  </w:style>
  <w:style w:type="table" w:styleId="472">
    <w:name w:val="Table Grid"/>
    <w:basedOn w:val="429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73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4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5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9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0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0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0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0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0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07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08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09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10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11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12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13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14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15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16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17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18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19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20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21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22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23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24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25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26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27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2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3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3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3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3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4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4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42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7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8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9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0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1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2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6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6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6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6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6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6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7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7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57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7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57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7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57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577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8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9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80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81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82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83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84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85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86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87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88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89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90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91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92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93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94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95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96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97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98">
    <w:name w:val="Hyperlink"/>
    <w:rPr>
      <w:color w:val="0000FF"/>
      <w:u w:val="single"/>
    </w:rPr>
  </w:style>
  <w:style w:type="paragraph" w:styleId="599">
    <w:name w:val="footnote text"/>
    <w:link w:val="600"/>
    <w:uiPriority w:val="99"/>
    <w:semiHidden/>
    <w:unhideWhenUsed/>
    <w:rPr>
      <w:sz w:val="18"/>
    </w:rPr>
    <w:pPr>
      <w:spacing w:after="40"/>
    </w:pPr>
  </w:style>
  <w:style w:type="character" w:styleId="600" w:customStyle="1">
    <w:name w:val="Текст сноски Знак"/>
    <w:link w:val="599"/>
    <w:uiPriority w:val="99"/>
    <w:rPr>
      <w:sz w:val="18"/>
    </w:rPr>
  </w:style>
  <w:style w:type="character" w:styleId="601">
    <w:name w:val="footnote reference"/>
    <w:uiPriority w:val="99"/>
    <w:unhideWhenUsed/>
    <w:rPr>
      <w:vertAlign w:val="superscript"/>
    </w:rPr>
  </w:style>
  <w:style w:type="paragraph" w:styleId="602">
    <w:name w:val="toc 1"/>
    <w:uiPriority w:val="39"/>
    <w:unhideWhenUsed/>
    <w:pPr>
      <w:spacing w:after="57"/>
    </w:pPr>
  </w:style>
  <w:style w:type="paragraph" w:styleId="603">
    <w:name w:val="toc 2"/>
    <w:uiPriority w:val="39"/>
    <w:unhideWhenUsed/>
    <w:pPr>
      <w:ind w:left="283"/>
      <w:spacing w:after="57"/>
    </w:pPr>
  </w:style>
  <w:style w:type="paragraph" w:styleId="604">
    <w:name w:val="toc 3"/>
    <w:uiPriority w:val="39"/>
    <w:unhideWhenUsed/>
    <w:pPr>
      <w:ind w:left="567"/>
      <w:spacing w:after="57"/>
    </w:pPr>
  </w:style>
  <w:style w:type="paragraph" w:styleId="605">
    <w:name w:val="toc 4"/>
    <w:uiPriority w:val="39"/>
    <w:unhideWhenUsed/>
    <w:pPr>
      <w:ind w:left="850"/>
      <w:spacing w:after="57"/>
    </w:pPr>
  </w:style>
  <w:style w:type="paragraph" w:styleId="606">
    <w:name w:val="toc 5"/>
    <w:uiPriority w:val="39"/>
    <w:unhideWhenUsed/>
    <w:pPr>
      <w:ind w:left="1134"/>
      <w:spacing w:after="57"/>
    </w:pPr>
  </w:style>
  <w:style w:type="paragraph" w:styleId="607">
    <w:name w:val="toc 6"/>
    <w:uiPriority w:val="39"/>
    <w:unhideWhenUsed/>
    <w:pPr>
      <w:ind w:left="1417"/>
      <w:spacing w:after="57"/>
    </w:pPr>
  </w:style>
  <w:style w:type="paragraph" w:styleId="608">
    <w:name w:val="toc 7"/>
    <w:uiPriority w:val="39"/>
    <w:unhideWhenUsed/>
    <w:pPr>
      <w:ind w:left="1701"/>
      <w:spacing w:after="57"/>
    </w:pPr>
  </w:style>
  <w:style w:type="paragraph" w:styleId="609">
    <w:name w:val="toc 8"/>
    <w:uiPriority w:val="39"/>
    <w:unhideWhenUsed/>
    <w:pPr>
      <w:ind w:left="1984"/>
      <w:spacing w:after="57"/>
    </w:pPr>
  </w:style>
  <w:style w:type="paragraph" w:styleId="610">
    <w:name w:val="toc 9"/>
    <w:uiPriority w:val="39"/>
    <w:unhideWhenUsed/>
    <w:pPr>
      <w:ind w:left="2268"/>
      <w:spacing w:after="57"/>
    </w:pPr>
  </w:style>
  <w:style w:type="paragraph" w:styleId="611">
    <w:name w:val="TOC Heading"/>
    <w:uiPriority w:val="39"/>
    <w:unhideWhenUsed/>
  </w:style>
  <w:style w:type="character" w:styleId="612" w:customStyle="1">
    <w:name w:val="Основной шрифт абзаца1"/>
    <w:semiHidden/>
    <w:rPr>
      <w:sz w:val="20"/>
    </w:rPr>
  </w:style>
  <w:style w:type="character" w:styleId="613">
    <w:name w:val="page number"/>
    <w:basedOn w:val="428"/>
  </w:style>
  <w:style w:type="paragraph" w:styleId="614" w:customStyle="1">
    <w:name w:val="ConsPlusCell"/>
    <w:rPr>
      <w:rFonts w:ascii="Arial" w:hAnsi="Arial"/>
      <w:lang w:bidi="ar-SA" w:eastAsia="ru-RU"/>
    </w:rPr>
    <w:pPr>
      <w:widowControl w:val="off"/>
    </w:pPr>
  </w:style>
  <w:style w:type="paragraph" w:styleId="615" w:customStyle="1">
    <w:name w:val="ConsPlusNormal"/>
    <w:rPr>
      <w:rFonts w:ascii="Arial" w:hAnsi="Arial"/>
      <w:lang w:bidi="ar-SA" w:eastAsia="ru-RU"/>
    </w:rPr>
    <w:pPr>
      <w:ind w:firstLine="720"/>
    </w:pPr>
  </w:style>
  <w:style w:type="paragraph" w:styleId="616" w:customStyle="1">
    <w:name w:val="ConsPlusNonformat"/>
    <w:rPr>
      <w:rFonts w:ascii="Courier New" w:hAnsi="Courier New"/>
      <w:lang w:bidi="ar-SA" w:eastAsia="ru-RU"/>
    </w:rPr>
  </w:style>
  <w:style w:type="paragraph" w:styleId="617">
    <w:name w:val="Balloon Text"/>
    <w:basedOn w:val="418"/>
    <w:link w:val="618"/>
    <w:rPr>
      <w:rFonts w:ascii="Tahoma" w:hAnsi="Tahoma"/>
      <w:sz w:val="16"/>
      <w:szCs w:val="16"/>
    </w:rPr>
  </w:style>
  <w:style w:type="character" w:styleId="618" w:customStyle="1">
    <w:name w:val="Текст выноски Знак"/>
    <w:link w:val="617"/>
    <w:rPr>
      <w:rFonts w:ascii="Tahoma" w:hAnsi="Tahoma"/>
      <w:sz w:val="16"/>
      <w:szCs w:val="16"/>
    </w:rPr>
  </w:style>
  <w:style w:type="paragraph" w:styleId="619" w:customStyle="1">
    <w:name w:val="Char"/>
    <w:basedOn w:val="418"/>
    <w:rPr>
      <w:rFonts w:ascii="Arial" w:hAnsi="Arial"/>
      <w:lang w:val="fr-FR"/>
    </w:rPr>
    <w:pPr>
      <w:spacing w:lineRule="exact" w:line="240" w:after="160"/>
    </w:pPr>
  </w:style>
  <w:style w:type="table" w:styleId="620" w:customStyle="1">
    <w:name w:val="Сетка таблицы1"/>
    <w:basedOn w:val="429"/>
    <w:next w:val="472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21" w:customStyle="1">
    <w:name w:val="Сетка таблицы11"/>
    <w:basedOn w:val="429"/>
    <w:rPr>
      <w:rFonts w:ascii="Calibri" w:hAnsi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22">
    <w:name w:val="annotation reference"/>
    <w:rPr>
      <w:sz w:val="16"/>
      <w:szCs w:val="16"/>
    </w:rPr>
  </w:style>
  <w:style w:type="paragraph" w:styleId="623">
    <w:name w:val="annotation text"/>
    <w:basedOn w:val="418"/>
    <w:link w:val="624"/>
    <w:pPr>
      <w:spacing w:lineRule="auto" w:line="259" w:after="160"/>
    </w:pPr>
  </w:style>
  <w:style w:type="character" w:styleId="624" w:customStyle="1">
    <w:name w:val="Текст примечания Знак"/>
    <w:link w:val="623"/>
    <w:rPr>
      <w:rFonts w:ascii="Calibri" w:hAnsi="Calibri"/>
    </w:rPr>
  </w:style>
  <w:style w:type="paragraph" w:styleId="625" w:customStyle="1">
    <w:name w:val="ConsPlusTitle"/>
    <w:rPr>
      <w:rFonts w:ascii="Arial" w:hAnsi="Arial"/>
      <w:b/>
      <w:bCs/>
      <w:sz w:val="24"/>
      <w:szCs w:val="24"/>
      <w:lang w:bidi="ar-SA" w:eastAsia="ru-RU"/>
    </w:rPr>
    <w:pPr>
      <w:widowControl w:val="off"/>
    </w:pPr>
  </w:style>
  <w:style w:type="character" w:styleId="626">
    <w:name w:val="Emphasis"/>
    <w:rPr>
      <w:i/>
      <w:iCs/>
    </w:rPr>
  </w:style>
  <w:style w:type="paragraph" w:styleId="627">
    <w:name w:val="annotation subject"/>
    <w:basedOn w:val="623"/>
    <w:next w:val="623"/>
    <w:link w:val="628"/>
    <w:rPr>
      <w:b/>
      <w:bCs/>
    </w:rPr>
    <w:pPr>
      <w:spacing w:lineRule="auto" w:line="240" w:after="0"/>
      <w:widowControl w:val="off"/>
    </w:pPr>
  </w:style>
  <w:style w:type="character" w:styleId="628" w:customStyle="1">
    <w:name w:val="Тема примечания Знак"/>
    <w:link w:val="627"/>
    <w:rPr>
      <w:rFonts w:ascii="Calibri" w:hAnsi="Calibri"/>
      <w:b/>
      <w:bCs/>
    </w:rPr>
  </w:style>
  <w:style w:type="paragraph" w:styleId="629" w:customStyle="1">
    <w:name w:val="Знак"/>
    <w:basedOn w:val="418"/>
    <w:rPr>
      <w:rFonts w:ascii="Verdana" w:hAnsi="Verdana"/>
      <w:sz w:val="20"/>
      <w:szCs w:val="20"/>
      <w:lang w:val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30" w:customStyle="1">
    <w:name w:val="Содержимое таблицы"/>
    <w:rPr>
      <w:lang w:bidi="ar-SA" w:eastAsia="ar-SA"/>
    </w:rPr>
    <w:pPr>
      <w:widowControl w:val="off"/>
    </w:pPr>
  </w:style>
  <w:style w:type="paragraph" w:styleId="631" w:customStyle="1">
    <w:name w:val="О*н*в*о* т*к*т"/>
    <w:rPr>
      <w:color w:val="000000"/>
      <w:sz w:val="24"/>
      <w:lang w:val="en-US"/>
    </w:rPr>
    <w:pPr>
      <w:spacing w:after="120"/>
    </w:pPr>
  </w:style>
  <w:style w:type="paragraph" w:styleId="632" w:customStyle="1">
    <w:name w:val="Default"/>
    <w:rPr>
      <w:color w:val="000000"/>
      <w:sz w:val="24"/>
      <w:szCs w:val="24"/>
      <w:lang w:bidi="ar-SA" w:eastAsia="ru-RU"/>
    </w:rPr>
  </w:style>
  <w:style w:type="paragraph" w:styleId="633" w:customStyle="1">
    <w:name w:val="О*н*в*о* т*к*т1"/>
    <w:uiPriority w:val="99"/>
    <w:rPr>
      <w:color w:val="000000"/>
      <w:sz w:val="24"/>
      <w:szCs w:val="24"/>
      <w:lang w:bidi="ar-SA" w:eastAsia="ru-RU"/>
    </w:rPr>
    <w:pPr>
      <w:contextualSpacing w:val="true"/>
      <w:jc w:val="right"/>
      <w:spacing w:lineRule="atLeast" w:line="240"/>
      <w:shd w:val="clear" w:color="auto" w:fill="FFFFFF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hyperlink" Target="https://mcx.pnzreg.ru" TargetMode="External"/><Relationship Id="rId10" Type="http://schemas.openxmlformats.org/officeDocument/2006/relationships/hyperlink" Target="https://login.consultant.ru/link/?req=doc&amp;base=RLAW021&amp;n=192938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</cp:revision>
  <dcterms:created xsi:type="dcterms:W3CDTF">2026-03-17T10:27:00Z</dcterms:created>
  <dcterms:modified xsi:type="dcterms:W3CDTF">2026-03-20T08:06:13Z</dcterms:modified>
</cp:coreProperties>
</file>